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12" w:rsidRDefault="00AB3373">
      <w:pPr>
        <w:pStyle w:val="a3"/>
        <w:spacing w:line="360" w:lineRule="auto"/>
        <w:jc w:val="center"/>
      </w:pPr>
      <w:r>
        <w:rPr>
          <w:sz w:val="28"/>
          <w:szCs w:val="28"/>
        </w:rPr>
        <w:t xml:space="preserve">Информация </w:t>
      </w:r>
    </w:p>
    <w:p w:rsidR="00335712" w:rsidRDefault="00AB3373">
      <w:pPr>
        <w:pStyle w:val="a3"/>
        <w:spacing w:line="360" w:lineRule="auto"/>
        <w:jc w:val="center"/>
      </w:pPr>
      <w:r>
        <w:rPr>
          <w:sz w:val="28"/>
          <w:szCs w:val="28"/>
        </w:rPr>
        <w:t xml:space="preserve">о результатах деятельности департамента культуры и туризма </w:t>
      </w:r>
    </w:p>
    <w:p w:rsidR="00335712" w:rsidRDefault="00AB3373">
      <w:pPr>
        <w:pStyle w:val="a3"/>
        <w:spacing w:line="360" w:lineRule="auto"/>
        <w:jc w:val="center"/>
      </w:pPr>
      <w:r>
        <w:rPr>
          <w:sz w:val="28"/>
          <w:szCs w:val="28"/>
        </w:rPr>
        <w:t>администрации города Липецка в 2017 году.</w:t>
      </w:r>
    </w:p>
    <w:p w:rsidR="00335712" w:rsidRDefault="00335712">
      <w:pPr>
        <w:pStyle w:val="a3"/>
        <w:spacing w:line="360" w:lineRule="auto"/>
        <w:jc w:val="both"/>
      </w:pPr>
    </w:p>
    <w:p w:rsidR="00335712" w:rsidRDefault="00AB3373">
      <w:pPr>
        <w:pStyle w:val="a3"/>
        <w:spacing w:line="276" w:lineRule="auto"/>
        <w:jc w:val="both"/>
      </w:pPr>
      <w:r>
        <w:rPr>
          <w:sz w:val="28"/>
          <w:szCs w:val="28"/>
        </w:rPr>
        <w:t xml:space="preserve">        В </w:t>
      </w:r>
      <w:r w:rsidRPr="00AB3373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Департаментом культуры и туризма администрации города  Липецка была продолжена работа по выполнению майских Указов Президента РФ, а также достижению целей поставленных в Стратегии государственной культурной </w:t>
      </w:r>
      <w:proofErr w:type="gramStart"/>
      <w:r>
        <w:rPr>
          <w:sz w:val="28"/>
          <w:szCs w:val="28"/>
        </w:rPr>
        <w:t>политики на период</w:t>
      </w:r>
      <w:proofErr w:type="gramEnd"/>
      <w:r>
        <w:rPr>
          <w:sz w:val="28"/>
          <w:szCs w:val="28"/>
        </w:rPr>
        <w:t xml:space="preserve"> до 2030 года и Стратегии социально-экономического развития города Липецка до 2035 года. </w:t>
      </w:r>
    </w:p>
    <w:p w:rsidR="00335712" w:rsidRDefault="00AB3373">
      <w:pPr>
        <w:pStyle w:val="a3"/>
        <w:spacing w:line="276" w:lineRule="auto"/>
        <w:jc w:val="both"/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Основным инструментом реализации государственной политики в сфере культуры и искусства в городе Липецке, обеспечивающей необходимые условия для реализации конституционных прав граждан на свободу творчества, участие в культурной жизни,  пользование учреждениями культуры и доступ к культурным ценностям  является муниципальная программа города Липецка «Развитие культуры и туризма в городе Липецке на 2017-2022 годы, а также муниципальная программа «Развитие образования города Липецка на</w:t>
      </w:r>
      <w:proofErr w:type="gramEnd"/>
      <w:r>
        <w:rPr>
          <w:sz w:val="28"/>
          <w:szCs w:val="28"/>
        </w:rPr>
        <w:t xml:space="preserve"> 2017-2022 годы». </w:t>
      </w:r>
    </w:p>
    <w:p w:rsidR="00335712" w:rsidRDefault="00335712">
      <w:pPr>
        <w:pStyle w:val="a3"/>
        <w:spacing w:line="276" w:lineRule="auto"/>
        <w:jc w:val="both"/>
      </w:pPr>
    </w:p>
    <w:p w:rsidR="00335712" w:rsidRDefault="00AB3373">
      <w:pPr>
        <w:pStyle w:val="a3"/>
        <w:spacing w:line="360" w:lineRule="auto"/>
        <w:jc w:val="center"/>
      </w:pPr>
      <w:r>
        <w:rPr>
          <w:b/>
          <w:sz w:val="28"/>
          <w:szCs w:val="28"/>
        </w:rPr>
        <w:t>Источники и объемы финансирования</w:t>
      </w:r>
    </w:p>
    <w:p w:rsidR="00335712" w:rsidRDefault="00335712">
      <w:pPr>
        <w:pStyle w:val="a3"/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78"/>
        <w:gridCol w:w="1894"/>
        <w:gridCol w:w="1740"/>
        <w:gridCol w:w="2175"/>
        <w:gridCol w:w="1368"/>
      </w:tblGrid>
      <w:tr w:rsidR="00335712">
        <w:trPr>
          <w:cantSplit/>
          <w:trHeight w:val="418"/>
        </w:trPr>
        <w:tc>
          <w:tcPr>
            <w:tcW w:w="2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71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Объем финансирования (в тыс. руб.)</w:t>
            </w:r>
          </w:p>
        </w:tc>
      </w:tr>
      <w:tr w:rsidR="00335712">
        <w:tc>
          <w:tcPr>
            <w:tcW w:w="2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335712">
            <w:pPr>
              <w:pStyle w:val="a3"/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sz w:val="20"/>
                <w:szCs w:val="20"/>
              </w:rPr>
              <w:t>Динамика роста к 2016 году</w:t>
            </w:r>
          </w:p>
        </w:tc>
      </w:tr>
      <w:tr w:rsidR="00335712">
        <w:trPr>
          <w:trHeight w:val="315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sz w:val="20"/>
                <w:szCs w:val="20"/>
              </w:rPr>
              <w:t>453964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sz w:val="20"/>
                <w:szCs w:val="20"/>
              </w:rPr>
              <w:t>491295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Pr="00D337BB" w:rsidRDefault="00D337BB">
            <w:pPr>
              <w:pStyle w:val="a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525289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D337BB">
            <w:pPr>
              <w:pStyle w:val="a3"/>
              <w:jc w:val="center"/>
            </w:pPr>
            <w:bookmarkStart w:id="0" w:name="__DdeLink__1157_1242213959"/>
            <w:bookmarkEnd w:id="0"/>
            <w:r>
              <w:rPr>
                <w:bCs/>
                <w:lang w:eastAsia="ru-RU"/>
              </w:rPr>
              <w:t>+</w:t>
            </w:r>
            <w:r>
              <w:rPr>
                <w:bCs/>
                <w:lang w:val="en-US" w:eastAsia="ru-RU"/>
              </w:rPr>
              <w:t>7</w:t>
            </w:r>
            <w:r w:rsidR="00AB3373">
              <w:rPr>
                <w:bCs/>
                <w:lang w:eastAsia="ru-RU"/>
              </w:rPr>
              <w:t>%</w:t>
            </w:r>
          </w:p>
        </w:tc>
      </w:tr>
      <w:tr w:rsidR="00335712">
        <w:trPr>
          <w:trHeight w:val="273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sz w:val="20"/>
                <w:szCs w:val="20"/>
              </w:rPr>
              <w:t>1685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Pr="00D337BB" w:rsidRDefault="00D337BB">
            <w:pPr>
              <w:pStyle w:val="a3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756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D337BB">
            <w:pPr>
              <w:pStyle w:val="a3"/>
              <w:jc w:val="center"/>
            </w:pPr>
            <w:r>
              <w:rPr>
                <w:bCs/>
                <w:lang w:eastAsia="ru-RU"/>
              </w:rPr>
              <w:t>+</w:t>
            </w:r>
            <w:r>
              <w:rPr>
                <w:bCs/>
                <w:lang w:val="en-US" w:eastAsia="ru-RU"/>
              </w:rPr>
              <w:t>80</w:t>
            </w:r>
            <w:r>
              <w:rPr>
                <w:bCs/>
                <w:lang w:eastAsia="ru-RU"/>
              </w:rPr>
              <w:t>%</w:t>
            </w:r>
          </w:p>
        </w:tc>
      </w:tr>
      <w:tr w:rsidR="00335712">
        <w:trPr>
          <w:trHeight w:val="264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D337BB">
            <w:pPr>
              <w:pStyle w:val="a3"/>
              <w:jc w:val="center"/>
            </w:pPr>
            <w:r>
              <w:rPr>
                <w:bCs/>
                <w:lang w:eastAsia="ru-RU"/>
              </w:rPr>
              <w:t>+</w:t>
            </w:r>
            <w:r>
              <w:rPr>
                <w:bCs/>
                <w:lang w:val="en-US" w:eastAsia="ru-RU"/>
              </w:rPr>
              <w:t>710</w:t>
            </w:r>
            <w:r>
              <w:rPr>
                <w:bCs/>
                <w:lang w:eastAsia="ru-RU"/>
              </w:rPr>
              <w:t>%</w:t>
            </w:r>
          </w:p>
        </w:tc>
      </w:tr>
      <w:tr w:rsidR="00335712">
        <w:trPr>
          <w:trHeight w:val="281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b/>
                <w:sz w:val="20"/>
                <w:szCs w:val="20"/>
              </w:rPr>
              <w:t>Внебюдже6тные средства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sz w:val="20"/>
                <w:szCs w:val="20"/>
              </w:rPr>
              <w:t>153198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sz w:val="20"/>
                <w:szCs w:val="20"/>
              </w:rPr>
              <w:t>154200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sz w:val="20"/>
                <w:szCs w:val="20"/>
              </w:rPr>
              <w:t>169089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+</w:t>
            </w:r>
            <w:r>
              <w:rPr>
                <w:bCs/>
                <w:lang w:val="en-US" w:eastAsia="ru-RU"/>
              </w:rPr>
              <w:t>10</w:t>
            </w:r>
            <w:r>
              <w:rPr>
                <w:bCs/>
                <w:lang w:eastAsia="ru-RU"/>
              </w:rPr>
              <w:t>%</w:t>
            </w:r>
          </w:p>
        </w:tc>
      </w:tr>
      <w:tr w:rsidR="00335712">
        <w:trPr>
          <w:trHeight w:val="400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sz w:val="20"/>
                <w:szCs w:val="20"/>
              </w:rPr>
              <w:t>608909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sz w:val="20"/>
                <w:szCs w:val="20"/>
              </w:rPr>
              <w:t>652077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Pr="00D337BB" w:rsidRDefault="00D337BB">
            <w:pPr>
              <w:pStyle w:val="a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696361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Pr="00D337BB" w:rsidRDefault="00D337BB">
            <w:pPr>
              <w:pStyle w:val="a3"/>
              <w:jc w:val="center"/>
              <w:rPr>
                <w:lang w:val="en-US"/>
              </w:rPr>
            </w:pPr>
            <w:r>
              <w:rPr>
                <w:bCs/>
                <w:lang w:eastAsia="ru-RU"/>
              </w:rPr>
              <w:t>+</w:t>
            </w:r>
            <w:r>
              <w:rPr>
                <w:bCs/>
                <w:lang w:val="en-US" w:eastAsia="ru-RU"/>
              </w:rPr>
              <w:t>7</w:t>
            </w:r>
            <w:r>
              <w:rPr>
                <w:bCs/>
                <w:lang w:eastAsia="ru-RU"/>
              </w:rPr>
              <w:t>%</w:t>
            </w:r>
          </w:p>
        </w:tc>
      </w:tr>
    </w:tbl>
    <w:p w:rsidR="00335712" w:rsidRDefault="00335712">
      <w:pPr>
        <w:pStyle w:val="a3"/>
      </w:pP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      Наряду с увеличением бюджетного финансирования в 2017 году вырос  на 15 млн. руб. объем внебюджетных средств, что составляет 110% к уровню прошлого года и более чем на 1 млн. руб. объем привлеченных из вышестоящих бюджетов.  Кроме того,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по результатам конкурсного отбора Фонда Президентских грантов победителем стал проект «Липецк событийный». Поддержка в размере 2 310,0 тыс. руб. направлена на проведение событийных мероприятий города Липецка в 2017 и 2018 гг. Липецким драматическим театром получен Грант Министерства культуры РФ в размере 1 500,0 тыс. руб. на реализацию новых проектов и постановок.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      Во исполнение Указа Президента РФ от 07.05.2012 года № 597 «О мероприятиях по реализации государственной социальной политики»  и в  </w:t>
      </w:r>
      <w:r>
        <w:rPr>
          <w:sz w:val="28"/>
          <w:szCs w:val="28"/>
        </w:rPr>
        <w:lastRenderedPageBreak/>
        <w:t>соответствии с нормативами «дорожной карты», в 2017 средняя заработная плата составила: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>- педагогических работников  - 25 310 руб.;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- основных  специалистов в сфере культуры - 23 273 руб.   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       В 2017 году произошли изменения в самом департаменте. Был структурирован коллектив сотрудников. Данное преобразование позволило повысить качество и результативность рабочего процесса, улучшило взаимодействие не только внутри коллектива, но и с другими структурными подразделениями администрации. Утверждено новое штатное расписание и создано 4 отдела один из которых – отдел туризма, образованный путем упразднения управления туризма и массовых коммуникаций администрации города Липецка. 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 В августе 2017 года департамент культуры был переименован в департамент культуры и туризма администрации города Липецка. 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       С целью оптимизации управления, консолидации творческого процесса  в  сентябре 2017 года к МУ «Липецкий Дом музыки» путем реорганизации были присоединены профессиональные коллективы: «Липецкий джазовый оркестр», «Липецкий камерный хор», «Липецкий духовой оркестр», «Липецкий ансамбль народной песни «</w:t>
      </w:r>
      <w:proofErr w:type="spellStart"/>
      <w:r>
        <w:rPr>
          <w:sz w:val="28"/>
          <w:szCs w:val="28"/>
        </w:rPr>
        <w:t>Зень</w:t>
      </w:r>
      <w:proofErr w:type="spellEnd"/>
      <w:r>
        <w:rPr>
          <w:sz w:val="28"/>
          <w:szCs w:val="28"/>
        </w:rPr>
        <w:t xml:space="preserve">» им. В. Владимировой». 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Объединение профессиональных творческих коллективов  дало положительные результаты - централизация творческих сил города, выработка единого творческого направления, постановка многоплановых программ с участием нескольких творческих коллективов, как следствие, увеличилось количество посетителей МУ «Липецкий Дом музыки» - 72 998 человек (в 2016 году – 45 280 человек). 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Впервые, в рамках ежегодного проекта «С оркестром играют дети» наряду с талантливыми детьми музыкальных школ и школ искусств города Липецка и Липецкой области вместе с Липецким симфоническим оркестром выступили стипендиаты фонда Владимира Спивакова (г. Москва).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В 2017 году в летнем павильоне «Путевой дворец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 была открыта историко-экологическая экспозиция «Музей воды», созданная с привлечение благотворительных средств частных лиц (Е.И. Бычковой).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Для повышения качества оказываемых услуг населению, изучения историко-культурного наследия города Липецка в сентябре 2017 года был создан Историко-культурный музей - филиал Липецкого музея народного и декоративно-прикладного искусства.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В июне 2017 года  на базе МАУК «Городской Дворец культуры» начал работу «Центр хореографического и циркового искусства», объединивший 8 танцевальных и 3 цирковых коллектива. В рамках работы Центра прошло 26 мероприятий, которые посетило около 12 000 человек. Самыми яркими стали фестиваль  танца «Ритмы планеты», Международный фестиваль современного танца «Атмосфера», в работе которого приняли участие именитые мастера из Парижа, Москвы, Санкт-Петербурга. 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lastRenderedPageBreak/>
        <w:t>В сентябре 2017 года на базе МУ «Дом культуры «</w:t>
      </w:r>
      <w:proofErr w:type="spellStart"/>
      <w:r>
        <w:rPr>
          <w:sz w:val="28"/>
          <w:szCs w:val="28"/>
        </w:rPr>
        <w:t>Матыра</w:t>
      </w:r>
      <w:proofErr w:type="spellEnd"/>
      <w:r>
        <w:rPr>
          <w:sz w:val="28"/>
          <w:szCs w:val="28"/>
        </w:rPr>
        <w:t>» начал работу «Базовый центр технического обеспечения и цифровых технологий». Результаты деятельности – возросший  уровень видеопроекционного сопровождения общегородских мероприятий.</w:t>
      </w:r>
      <w:r>
        <w:t xml:space="preserve"> 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В МАУК «Парк «</w:t>
      </w:r>
      <w:proofErr w:type="spellStart"/>
      <w:r>
        <w:rPr>
          <w:sz w:val="28"/>
          <w:szCs w:val="28"/>
        </w:rPr>
        <w:t>Быханов</w:t>
      </w:r>
      <w:proofErr w:type="spellEnd"/>
      <w:r>
        <w:rPr>
          <w:sz w:val="28"/>
          <w:szCs w:val="28"/>
        </w:rPr>
        <w:t xml:space="preserve"> сад» открыт парк миниатюр достопримечательностей Липецкой области, посетивший около 7000 человек. 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2017 год был объявлен годом экологии,  департаментом культуры и туризма,  подведомственными учреждениями культуры были реализованы проекты «Будем жить </w:t>
      </w:r>
      <w:proofErr w:type="spellStart"/>
      <w:r>
        <w:rPr>
          <w:sz w:val="28"/>
          <w:szCs w:val="28"/>
        </w:rPr>
        <w:t>экологично</w:t>
      </w:r>
      <w:proofErr w:type="spellEnd"/>
      <w:r>
        <w:rPr>
          <w:sz w:val="28"/>
          <w:szCs w:val="28"/>
        </w:rPr>
        <w:t xml:space="preserve">», акции по раздельному сбору мусора, циклы экологических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>, выставок, фотоконкурсов. Проведено 1 110 тематических мероприятий, охват – более 49 тыс. чел.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Для достижения показателя, включенного в «Стратегию социально-экономического  развития города Липецка до 2035 года» в МУ «ЦБС» города Липецка продолжилось внедрение автоматизированной системы книговыдачи в БИЦ «Рудничный». На сегодняшний день </w:t>
      </w:r>
      <w:proofErr w:type="gramStart"/>
      <w:r>
        <w:rPr>
          <w:sz w:val="28"/>
          <w:szCs w:val="28"/>
        </w:rPr>
        <w:t>автоматизированы</w:t>
      </w:r>
      <w:proofErr w:type="gramEnd"/>
      <w:r>
        <w:rPr>
          <w:sz w:val="28"/>
          <w:szCs w:val="28"/>
        </w:rPr>
        <w:t xml:space="preserve">  8 муниципальных библиотек из 27, т.е. почти 30%. 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 Впервые в преддверии Нового года в нашем городе проведен  фестиваль «Петровские забавы, или Новогодний фейерверк по-Липецки», который стал презентационной площадкой цикла новогодних мероприятий, запланированных к проведению в учреждениях, организациях всех форм собственности. «Праздник в душе каждого» - этот  слоган отражает суть проведенного фестиваля.</w:t>
      </w:r>
    </w:p>
    <w:p w:rsidR="00335712" w:rsidRDefault="00335712">
      <w:pPr>
        <w:pStyle w:val="a3"/>
        <w:jc w:val="both"/>
      </w:pPr>
    </w:p>
    <w:p w:rsidR="00335712" w:rsidRDefault="00335712">
      <w:pPr>
        <w:pStyle w:val="a3"/>
        <w:jc w:val="both"/>
      </w:pPr>
    </w:p>
    <w:p w:rsidR="00335712" w:rsidRDefault="00AB3373">
      <w:pPr>
        <w:pStyle w:val="ab"/>
        <w:numPr>
          <w:ilvl w:val="0"/>
          <w:numId w:val="2"/>
        </w:numPr>
        <w:spacing w:after="0"/>
        <w:jc w:val="center"/>
      </w:pPr>
      <w:r>
        <w:rPr>
          <w:sz w:val="28"/>
          <w:szCs w:val="28"/>
        </w:rPr>
        <w:t>Организация предоставления дополнительного образования детей</w:t>
      </w:r>
    </w:p>
    <w:p w:rsidR="00335712" w:rsidRPr="000F4F7D" w:rsidRDefault="00335712" w:rsidP="000F4F7D">
      <w:pPr>
        <w:pStyle w:val="a3"/>
        <w:jc w:val="both"/>
        <w:rPr>
          <w:lang w:val="en-US"/>
        </w:rPr>
      </w:pP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Основу системы образования в сфере культуры и искусства в городе Липецке составляет сеть образовательных учреждений, в которую входят детские школы искусств, художественные и музыкальные школы.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В настоящее время данную сеть формируют 14 муниципальных учреждений дополнительного образования.</w:t>
      </w:r>
    </w:p>
    <w:p w:rsidR="00335712" w:rsidRDefault="00AB3373">
      <w:pPr>
        <w:pStyle w:val="a3"/>
        <w:ind w:right="260" w:firstLine="426"/>
        <w:jc w:val="both"/>
      </w:pPr>
      <w:r>
        <w:rPr>
          <w:sz w:val="28"/>
          <w:szCs w:val="28"/>
        </w:rPr>
        <w:t>Работа департамента культуры и туризма в 2017 году по данному направлению позволила привлечь в муниципальные школы искусств:</w:t>
      </w:r>
    </w:p>
    <w:p w:rsidR="00335712" w:rsidRDefault="00335712">
      <w:pPr>
        <w:pStyle w:val="a3"/>
        <w:ind w:right="260" w:firstLine="426"/>
        <w:jc w:val="both"/>
      </w:pPr>
    </w:p>
    <w:p w:rsidR="00335712" w:rsidRDefault="00335712">
      <w:pPr>
        <w:pStyle w:val="a3"/>
        <w:ind w:right="260" w:firstLine="426"/>
        <w:jc w:val="both"/>
      </w:pPr>
    </w:p>
    <w:tbl>
      <w:tblPr>
        <w:tblW w:w="0" w:type="auto"/>
        <w:jc w:val="center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283"/>
        <w:gridCol w:w="1664"/>
        <w:gridCol w:w="1667"/>
        <w:gridCol w:w="1844"/>
      </w:tblGrid>
      <w:tr w:rsidR="00335712">
        <w:trPr>
          <w:jc w:val="center"/>
        </w:trPr>
        <w:tc>
          <w:tcPr>
            <w:tcW w:w="9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rPr>
                <w:b/>
              </w:rPr>
              <w:t>Среднегодовой показатель</w:t>
            </w:r>
          </w:p>
        </w:tc>
      </w:tr>
      <w:tr w:rsidR="00335712">
        <w:trPr>
          <w:jc w:val="center"/>
        </w:trPr>
        <w:tc>
          <w:tcPr>
            <w:tcW w:w="4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335712">
            <w:pPr>
              <w:pStyle w:val="Style1"/>
              <w:widowControl/>
              <w:spacing w:line="100" w:lineRule="atLeast"/>
              <w:ind w:right="26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rPr>
                <w:b/>
              </w:rPr>
              <w:t>2015 год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rPr>
                <w:b/>
              </w:rPr>
              <w:t>2016 год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rPr>
                <w:b/>
              </w:rPr>
              <w:t>2017год</w:t>
            </w:r>
          </w:p>
        </w:tc>
      </w:tr>
      <w:tr w:rsidR="00335712">
        <w:trPr>
          <w:jc w:val="center"/>
        </w:trPr>
        <w:tc>
          <w:tcPr>
            <w:tcW w:w="4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335712">
            <w:pPr>
              <w:pStyle w:val="Style1"/>
              <w:widowControl/>
              <w:spacing w:line="100" w:lineRule="atLeast"/>
              <w:ind w:right="26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t>7349 чел.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t>7533 чел.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t>7275 чел.</w:t>
            </w:r>
          </w:p>
        </w:tc>
      </w:tr>
      <w:tr w:rsidR="00335712">
        <w:trPr>
          <w:jc w:val="center"/>
        </w:trPr>
        <w:tc>
          <w:tcPr>
            <w:tcW w:w="9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  <w:jc w:val="left"/>
            </w:pPr>
            <w:r>
              <w:rPr>
                <w:b/>
              </w:rPr>
              <w:t>Их них обучаются:</w:t>
            </w:r>
          </w:p>
        </w:tc>
      </w:tr>
      <w:tr w:rsidR="00335712">
        <w:trPr>
          <w:jc w:val="center"/>
        </w:trPr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  <w:jc w:val="left"/>
            </w:pPr>
            <w:r>
              <w:t>на бюджетной основе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t>6174 чел.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t>5973 чел.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t>5852 чел.</w:t>
            </w:r>
          </w:p>
        </w:tc>
      </w:tr>
      <w:tr w:rsidR="00335712">
        <w:trPr>
          <w:jc w:val="center"/>
        </w:trPr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  <w:jc w:val="left"/>
            </w:pPr>
            <w:r>
              <w:t>на хозрасчётных отделениях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t>1175 чел.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t>1560 чел.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t>1423 чел.</w:t>
            </w:r>
          </w:p>
        </w:tc>
      </w:tr>
      <w:tr w:rsidR="00335712">
        <w:trPr>
          <w:jc w:val="center"/>
        </w:trPr>
        <w:tc>
          <w:tcPr>
            <w:tcW w:w="9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  <w:jc w:val="left"/>
            </w:pPr>
            <w:r>
              <w:rPr>
                <w:b/>
              </w:rPr>
              <w:t>От  числа учащихся общеобразовательных школ города:</w:t>
            </w:r>
          </w:p>
        </w:tc>
      </w:tr>
      <w:tr w:rsidR="00335712">
        <w:trPr>
          <w:jc w:val="center"/>
        </w:trPr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  <w:jc w:val="left"/>
            </w:pPr>
            <w:r>
              <w:t>количество составило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t>15,9%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Style1"/>
              <w:widowControl/>
              <w:spacing w:line="100" w:lineRule="atLeast"/>
              <w:ind w:right="260"/>
            </w:pPr>
            <w:r>
              <w:t>15,2%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Pr="00AB3373" w:rsidRDefault="00AB3373">
            <w:pPr>
              <w:pStyle w:val="Style1"/>
              <w:widowControl/>
              <w:spacing w:line="100" w:lineRule="atLeast"/>
              <w:ind w:right="260"/>
              <w:rPr>
                <w:color w:val="auto"/>
              </w:rPr>
            </w:pPr>
            <w:r w:rsidRPr="00AB3373">
              <w:rPr>
                <w:color w:val="auto"/>
              </w:rPr>
              <w:t xml:space="preserve">15,2%  </w:t>
            </w:r>
          </w:p>
        </w:tc>
      </w:tr>
    </w:tbl>
    <w:p w:rsidR="00335712" w:rsidRDefault="00335712">
      <w:pPr>
        <w:pStyle w:val="a3"/>
        <w:ind w:firstLine="708"/>
        <w:jc w:val="both"/>
      </w:pP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Спрос населения на образовательные услуги, предоставляемые системой ДМШ, ДХШ, ДШИ в целом остается стабильным.</w:t>
      </w:r>
    </w:p>
    <w:p w:rsidR="00335712" w:rsidRDefault="00AB3373">
      <w:pPr>
        <w:pStyle w:val="a3"/>
        <w:ind w:right="-2" w:firstLine="708"/>
        <w:jc w:val="both"/>
      </w:pPr>
      <w:r>
        <w:rPr>
          <w:sz w:val="28"/>
          <w:szCs w:val="28"/>
        </w:rPr>
        <w:lastRenderedPageBreak/>
        <w:t>Одна из причин снижения контингента - это переход общеобразовательных школ в односменный режим и увеличение загруженности детей в них. Кроме того, это связано с  возможностью зданий ДШИ вместить всех желающих, что связано с неравномерностью территориальной доступности услуг учреждений дополнительного образования, т.е. отсутствием ДШИ, ДХШ и ДМШ в новых районах города.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Одним из основных направлений работы системы дополнительного образования детей в сфере культуры и искусства остается поиск, поддержка и сопровождение талантливых детей. </w:t>
      </w:r>
      <w:proofErr w:type="gramStart"/>
      <w:r>
        <w:rPr>
          <w:sz w:val="28"/>
          <w:szCs w:val="28"/>
        </w:rPr>
        <w:t>Важным аспектом этой работы является участие обучающихся ДМШ, ДХШ, ДШИ в конкурсах различного уровня.</w:t>
      </w:r>
      <w:proofErr w:type="gramEnd"/>
    </w:p>
    <w:p w:rsidR="00335712" w:rsidRDefault="00AB3373">
      <w:pPr>
        <w:pStyle w:val="a3"/>
        <w:ind w:firstLine="567"/>
        <w:jc w:val="both"/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ограммы «Развитие образования г. Липецка на 2017-2022г.г.» и внебюджетных источников финансирования в 2017 году более 4,0 тысяч обучающихся приняли участие более чем в 195 конкурсах, фестивалях художественного творчества и исполнительского мастерства разного уровня, из них около 50% – конкурсы международного уровня. </w:t>
      </w:r>
    </w:p>
    <w:p w:rsidR="00335712" w:rsidRDefault="00335712">
      <w:pPr>
        <w:pStyle w:val="a3"/>
        <w:ind w:firstLine="567"/>
        <w:jc w:val="both"/>
      </w:pPr>
    </w:p>
    <w:tbl>
      <w:tblPr>
        <w:tblW w:w="0" w:type="auto"/>
        <w:jc w:val="center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359"/>
        <w:gridCol w:w="1698"/>
        <w:gridCol w:w="1700"/>
        <w:gridCol w:w="1701"/>
      </w:tblGrid>
      <w:tr w:rsidR="00335712">
        <w:trPr>
          <w:trHeight w:val="332"/>
          <w:jc w:val="center"/>
        </w:trPr>
        <w:tc>
          <w:tcPr>
            <w:tcW w:w="9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Конкурсы, выставки, фестивали</w:t>
            </w:r>
            <w:r w:rsidR="00853B7E">
              <w:rPr>
                <w:b/>
              </w:rPr>
              <w:t xml:space="preserve"> </w:t>
            </w:r>
          </w:p>
        </w:tc>
      </w:tr>
      <w:tr w:rsidR="00335712">
        <w:trPr>
          <w:jc w:val="center"/>
        </w:trPr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335712">
            <w:pPr>
              <w:pStyle w:val="a3"/>
              <w:jc w:val="both"/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2015г.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2016г.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2017г.</w:t>
            </w:r>
          </w:p>
        </w:tc>
      </w:tr>
      <w:tr w:rsidR="00335712">
        <w:trPr>
          <w:jc w:val="center"/>
        </w:trPr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Количество конкурсов</w:t>
            </w:r>
            <w:r w:rsidR="00853B7E">
              <w:t xml:space="preserve"> (ед.)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107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130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195</w:t>
            </w:r>
          </w:p>
        </w:tc>
      </w:tr>
      <w:tr w:rsidR="00335712">
        <w:trPr>
          <w:jc w:val="center"/>
        </w:trPr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Приняли участие</w:t>
            </w:r>
            <w:r w:rsidR="00853B7E">
              <w:t xml:space="preserve"> (ед.)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3500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3550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4121</w:t>
            </w:r>
          </w:p>
        </w:tc>
      </w:tr>
      <w:tr w:rsidR="00335712">
        <w:trPr>
          <w:jc w:val="center"/>
        </w:trPr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 xml:space="preserve">Победители </w:t>
            </w:r>
            <w:r w:rsidR="00853B7E">
              <w:t>(чел.)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1925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1942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3222</w:t>
            </w:r>
          </w:p>
        </w:tc>
      </w:tr>
    </w:tbl>
    <w:p w:rsidR="00335712" w:rsidRDefault="00335712">
      <w:pPr>
        <w:pStyle w:val="a3"/>
        <w:ind w:firstLine="708"/>
        <w:jc w:val="center"/>
      </w:pPr>
    </w:p>
    <w:p w:rsidR="00335712" w:rsidRDefault="00AB3373">
      <w:pPr>
        <w:pStyle w:val="a3"/>
        <w:jc w:val="center"/>
      </w:pPr>
      <w:proofErr w:type="gramStart"/>
      <w:r>
        <w:rPr>
          <w:b/>
        </w:rPr>
        <w:t xml:space="preserve">Участие обучающихся в творческих мероприятиях </w:t>
      </w:r>
      <w:proofErr w:type="gramEnd"/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224"/>
        <w:gridCol w:w="898"/>
        <w:gridCol w:w="898"/>
        <w:gridCol w:w="755"/>
        <w:gridCol w:w="895"/>
        <w:gridCol w:w="892"/>
        <w:gridCol w:w="762"/>
        <w:gridCol w:w="1214"/>
        <w:gridCol w:w="1208"/>
        <w:gridCol w:w="819"/>
      </w:tblGrid>
      <w:tr w:rsidR="00335712"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335712">
            <w:pPr>
              <w:pStyle w:val="a3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 xml:space="preserve">Международные </w:t>
            </w:r>
          </w:p>
        </w:tc>
        <w:tc>
          <w:tcPr>
            <w:tcW w:w="2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Всероссийские</w:t>
            </w:r>
          </w:p>
        </w:tc>
        <w:tc>
          <w:tcPr>
            <w:tcW w:w="3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 xml:space="preserve">Межрегиональные </w:t>
            </w:r>
          </w:p>
        </w:tc>
      </w:tr>
      <w:tr w:rsidR="00335712"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335712">
            <w:pPr>
              <w:pStyle w:val="a3"/>
              <w:jc w:val="center"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2017</w:t>
            </w:r>
          </w:p>
        </w:tc>
      </w:tr>
      <w:tr w:rsidR="00335712"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Конкурс</w:t>
            </w:r>
          </w:p>
          <w:p w:rsidR="00335712" w:rsidRDefault="00853B7E">
            <w:pPr>
              <w:pStyle w:val="a3"/>
              <w:jc w:val="center"/>
            </w:pPr>
            <w:r>
              <w:t>(ед</w:t>
            </w:r>
            <w:r w:rsidR="00AB3373">
              <w:t>.</w:t>
            </w:r>
            <w:r>
              <w:t>)</w:t>
            </w:r>
            <w:r w:rsidR="00AB3373">
              <w:t xml:space="preserve">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56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58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93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40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44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58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30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33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44</w:t>
            </w:r>
          </w:p>
        </w:tc>
      </w:tr>
    </w:tbl>
    <w:p w:rsidR="00335712" w:rsidRDefault="00AB3373">
      <w:pPr>
        <w:pStyle w:val="a3"/>
        <w:ind w:firstLine="284"/>
        <w:jc w:val="both"/>
      </w:pPr>
      <w:r>
        <w:t xml:space="preserve"> </w:t>
      </w:r>
    </w:p>
    <w:p w:rsidR="00335712" w:rsidRDefault="00AB3373">
      <w:pPr>
        <w:pStyle w:val="a3"/>
        <w:ind w:firstLine="567"/>
        <w:jc w:val="both"/>
      </w:pPr>
      <w:r>
        <w:rPr>
          <w:sz w:val="28"/>
          <w:szCs w:val="28"/>
        </w:rPr>
        <w:t>Так, например, сводный хор учащихся МБУ ДО «ДШИ №6» «</w:t>
      </w:r>
      <w:r>
        <w:rPr>
          <w:sz w:val="28"/>
          <w:szCs w:val="28"/>
          <w:lang w:val="en-US"/>
        </w:rPr>
        <w:t>Cantus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Cor</w:t>
      </w:r>
      <w:proofErr w:type="spellEnd"/>
      <w:r>
        <w:rPr>
          <w:sz w:val="28"/>
          <w:szCs w:val="28"/>
        </w:rPr>
        <w:t>» (руководитель Е. Е. Серова) завоевал ГРАН-ПРИ детско-юношеского хорового чемпионата мира в городе Санкт-Петербург.</w:t>
      </w:r>
    </w:p>
    <w:p w:rsidR="00335712" w:rsidRDefault="00AB3373">
      <w:pPr>
        <w:pStyle w:val="a3"/>
        <w:ind w:firstLine="567"/>
        <w:jc w:val="both"/>
      </w:pPr>
      <w:r>
        <w:rPr>
          <w:sz w:val="28"/>
          <w:szCs w:val="28"/>
        </w:rPr>
        <w:t xml:space="preserve">Учащиеся МБУ ДО «ДХШ №2» стали победителями Международной детско-юношеской художественной выставки «Полет фантазии», провинция </w:t>
      </w:r>
      <w:proofErr w:type="spellStart"/>
      <w:r>
        <w:rPr>
          <w:sz w:val="28"/>
          <w:szCs w:val="28"/>
        </w:rPr>
        <w:t>Хубэй</w:t>
      </w:r>
      <w:proofErr w:type="spellEnd"/>
      <w:r>
        <w:rPr>
          <w:sz w:val="28"/>
          <w:szCs w:val="28"/>
        </w:rPr>
        <w:t xml:space="preserve">, Китай, а также победителями Международного конкурса живописи «На своей земле», город Минск, Белоруссия. </w:t>
      </w:r>
    </w:p>
    <w:p w:rsidR="00335712" w:rsidRDefault="00AB3373">
      <w:pPr>
        <w:pStyle w:val="a3"/>
        <w:ind w:firstLine="567"/>
        <w:jc w:val="both"/>
      </w:pPr>
      <w:r>
        <w:rPr>
          <w:sz w:val="28"/>
          <w:szCs w:val="28"/>
        </w:rPr>
        <w:t xml:space="preserve">  Учащийся МБУ ДО «ДШИ №3» </w:t>
      </w:r>
      <w:proofErr w:type="spellStart"/>
      <w:r>
        <w:rPr>
          <w:sz w:val="28"/>
          <w:szCs w:val="28"/>
        </w:rPr>
        <w:t>Никишев</w:t>
      </w:r>
      <w:proofErr w:type="spellEnd"/>
      <w:r>
        <w:rPr>
          <w:sz w:val="28"/>
          <w:szCs w:val="28"/>
        </w:rPr>
        <w:t xml:space="preserve"> Максим стал лауреатом 1 степени в Международном конкурсе молодых исполнителей «Белая лира», номинация «Солисты. Баян», город Белгород.</w:t>
      </w:r>
    </w:p>
    <w:p w:rsidR="00335712" w:rsidRDefault="00AB3373">
      <w:pPr>
        <w:pStyle w:val="a3"/>
        <w:ind w:firstLine="567"/>
        <w:jc w:val="both"/>
      </w:pPr>
      <w:r>
        <w:rPr>
          <w:sz w:val="28"/>
          <w:szCs w:val="28"/>
        </w:rPr>
        <w:t xml:space="preserve">  В Шестнадцатых молодежных Дельфийских играх России (г. Екатеринбург), призерами стали учащиеся  ДШИ № 6 и №7.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        25 учащихся школ искусств города Липецка получают стипендию администрации города Липецка и городского Совета депутатов в размере 500 рублей ежемесячно. </w:t>
      </w:r>
    </w:p>
    <w:p w:rsidR="00335712" w:rsidRDefault="00AB3373">
      <w:pPr>
        <w:pStyle w:val="Style1"/>
        <w:widowControl/>
        <w:spacing w:line="100" w:lineRule="atLeast"/>
        <w:ind w:firstLine="708"/>
        <w:jc w:val="both"/>
      </w:pPr>
      <w:r>
        <w:rPr>
          <w:rStyle w:val="FontStyle11"/>
          <w:b w:val="0"/>
          <w:sz w:val="28"/>
          <w:szCs w:val="28"/>
        </w:rPr>
        <w:t>Кроме того,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управления культуры и туризма Липецкой области 15 учащихся получают областную стипендию.</w:t>
      </w:r>
    </w:p>
    <w:p w:rsidR="00335712" w:rsidRDefault="00335712">
      <w:pPr>
        <w:pStyle w:val="a3"/>
        <w:tabs>
          <w:tab w:val="left" w:pos="0"/>
        </w:tabs>
        <w:jc w:val="both"/>
      </w:pPr>
    </w:p>
    <w:tbl>
      <w:tblPr>
        <w:tblW w:w="0" w:type="auto"/>
        <w:jc w:val="center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341"/>
        <w:gridCol w:w="1222"/>
        <w:gridCol w:w="1516"/>
        <w:gridCol w:w="1379"/>
      </w:tblGrid>
      <w:tr w:rsidR="00335712">
        <w:trPr>
          <w:trHeight w:val="654"/>
          <w:jc w:val="center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center"/>
            </w:pPr>
            <w:r>
              <w:rPr>
                <w:b/>
                <w:lang w:eastAsia="ru-RU"/>
              </w:rPr>
              <w:t>Наименование</w:t>
            </w:r>
          </w:p>
          <w:p w:rsidR="00335712" w:rsidRDefault="00335712">
            <w:pPr>
              <w:pStyle w:val="a3"/>
              <w:jc w:val="center"/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  <w:lang w:eastAsia="ru-RU"/>
              </w:rPr>
              <w:t>2016 год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  <w:lang w:eastAsia="ru-RU"/>
              </w:rPr>
              <w:t>2017 год</w:t>
            </w:r>
          </w:p>
        </w:tc>
      </w:tr>
      <w:tr w:rsidR="00335712">
        <w:trPr>
          <w:jc w:val="center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335712" w:rsidRDefault="00AB3373">
            <w:pPr>
              <w:pStyle w:val="a3"/>
            </w:pPr>
            <w:r>
              <w:t>Стипендия администрации города Липецка и Липецкого городского Совета депутатов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25 чел.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25 чел.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25 чел.</w:t>
            </w:r>
          </w:p>
        </w:tc>
      </w:tr>
      <w:tr w:rsidR="00335712">
        <w:trPr>
          <w:jc w:val="center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335712" w:rsidRDefault="00AB3373">
            <w:pPr>
              <w:pStyle w:val="a3"/>
            </w:pPr>
            <w:r>
              <w:t>Областная стипендия учащимся ДМШ, ДШИ и ДХШ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8 чел.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11 чел.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15 чел.</w:t>
            </w:r>
          </w:p>
        </w:tc>
      </w:tr>
    </w:tbl>
    <w:p w:rsidR="00335712" w:rsidRDefault="00335712">
      <w:pPr>
        <w:pStyle w:val="a3"/>
        <w:ind w:firstLine="708"/>
        <w:jc w:val="both"/>
      </w:pP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В рамках Ведомственной целевой программы «Ресурсное обеспечение программ дополнительного образования в сфере культуры и искусства города Липецка на 2017-2022 годы» и с целью развития и поддержки творческих способностей детей были организованы и проведены четыре конкурса:</w:t>
      </w:r>
    </w:p>
    <w:p w:rsidR="00335712" w:rsidRDefault="00AB3373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Всероссийский конкурс академического рисунка и живописи натурного рисования «Традиции»;</w:t>
      </w:r>
    </w:p>
    <w:p w:rsidR="00335712" w:rsidRDefault="00AB3373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городской открытый конкурс пленэрных работ «Творческая мастерская»;</w:t>
      </w:r>
    </w:p>
    <w:p w:rsidR="00335712" w:rsidRDefault="00AB3373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городской конкурс юных исполнителей на баяне-аккордеоне;</w:t>
      </w:r>
    </w:p>
    <w:p w:rsidR="00335712" w:rsidRDefault="00AB3373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открытый конкурс-фестиваль художественного творчества им. В.С. Сорокина.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План – 125,0  тыс. руб., фактическое освоение – 100%.</w:t>
      </w:r>
    </w:p>
    <w:p w:rsidR="00335712" w:rsidRDefault="00335712">
      <w:pPr>
        <w:pStyle w:val="a3"/>
        <w:ind w:firstLine="708"/>
        <w:jc w:val="both"/>
      </w:pPr>
    </w:p>
    <w:p w:rsidR="00335712" w:rsidRDefault="00AB3373">
      <w:pPr>
        <w:pStyle w:val="a3"/>
        <w:jc w:val="center"/>
      </w:pPr>
      <w:r>
        <w:rPr>
          <w:b/>
          <w:bCs/>
          <w:sz w:val="28"/>
          <w:szCs w:val="28"/>
          <w:lang w:eastAsia="ru-RU"/>
        </w:rPr>
        <w:t>Финансирование системы образования</w:t>
      </w:r>
    </w:p>
    <w:p w:rsidR="00335712" w:rsidRDefault="00AB3373">
      <w:pPr>
        <w:pStyle w:val="a3"/>
        <w:ind w:firstLine="426"/>
        <w:jc w:val="both"/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35712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/>
                <w:bCs/>
                <w:lang w:eastAsia="ru-RU"/>
              </w:rPr>
              <w:t>2017</w:t>
            </w:r>
          </w:p>
        </w:tc>
      </w:tr>
      <w:tr w:rsidR="00335712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188 808,2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191 025,5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234 736,1</w:t>
            </w:r>
          </w:p>
        </w:tc>
      </w:tr>
    </w:tbl>
    <w:p w:rsidR="00335712" w:rsidRDefault="00335712">
      <w:pPr>
        <w:pStyle w:val="a3"/>
        <w:jc w:val="center"/>
      </w:pPr>
    </w:p>
    <w:p w:rsidR="00335712" w:rsidRDefault="00335712">
      <w:pPr>
        <w:pStyle w:val="a3"/>
        <w:jc w:val="center"/>
      </w:pPr>
    </w:p>
    <w:p w:rsidR="00335712" w:rsidRDefault="00335712">
      <w:pPr>
        <w:pStyle w:val="a3"/>
        <w:jc w:val="center"/>
      </w:pPr>
    </w:p>
    <w:p w:rsidR="00335712" w:rsidRDefault="00AB3373">
      <w:pPr>
        <w:pStyle w:val="a3"/>
        <w:jc w:val="center"/>
      </w:pPr>
      <w:r>
        <w:rPr>
          <w:b/>
          <w:bCs/>
          <w:sz w:val="28"/>
          <w:szCs w:val="28"/>
          <w:lang w:eastAsia="ru-RU"/>
        </w:rPr>
        <w:t>Привлечение внебюджетных средств</w:t>
      </w:r>
    </w:p>
    <w:p w:rsidR="00335712" w:rsidRDefault="001937F5" w:rsidP="001937F5">
      <w:pPr>
        <w:pStyle w:val="a3"/>
        <w:jc w:val="right"/>
      </w:pPr>
      <w:r>
        <w:t xml:space="preserve"> </w:t>
      </w: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972"/>
        <w:gridCol w:w="1879"/>
        <w:gridCol w:w="1877"/>
        <w:gridCol w:w="1899"/>
        <w:gridCol w:w="1944"/>
      </w:tblGrid>
      <w:tr w:rsidR="00335712"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335712">
            <w:pPr>
              <w:pStyle w:val="a3"/>
              <w:jc w:val="center"/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2015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2016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2017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Динамика роста к 2016</w:t>
            </w:r>
          </w:p>
        </w:tc>
      </w:tr>
      <w:tr w:rsidR="00335712"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Привлечение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17 300 000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 xml:space="preserve">22 824 852  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27 290 244,41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bookmarkStart w:id="1" w:name="__DdeLink__1172_245599815"/>
            <w:bookmarkEnd w:id="1"/>
            <w:r>
              <w:rPr>
                <w:bCs/>
                <w:lang w:eastAsia="ru-RU"/>
              </w:rPr>
              <w:t>+20%</w:t>
            </w:r>
          </w:p>
        </w:tc>
      </w:tr>
    </w:tbl>
    <w:p w:rsidR="00335712" w:rsidRDefault="00335712">
      <w:pPr>
        <w:pStyle w:val="a3"/>
      </w:pPr>
    </w:p>
    <w:p w:rsidR="00335712" w:rsidRDefault="00335712">
      <w:pPr>
        <w:pStyle w:val="a3"/>
      </w:pPr>
    </w:p>
    <w:p w:rsidR="00335712" w:rsidRPr="00AB3373" w:rsidRDefault="00AB3373">
      <w:pPr>
        <w:pStyle w:val="a3"/>
        <w:numPr>
          <w:ilvl w:val="0"/>
          <w:numId w:val="2"/>
        </w:numPr>
        <w:jc w:val="center"/>
      </w:pPr>
      <w:r w:rsidRPr="00AB3373">
        <w:rPr>
          <w:sz w:val="28"/>
          <w:szCs w:val="28"/>
        </w:rPr>
        <w:t>Организация досуга и обеспечение жителей города услугами муниципальных учреждений культуры</w:t>
      </w:r>
    </w:p>
    <w:p w:rsidR="00335712" w:rsidRDefault="00335712">
      <w:pPr>
        <w:pStyle w:val="a3"/>
        <w:jc w:val="center"/>
      </w:pPr>
    </w:p>
    <w:p w:rsidR="00335712" w:rsidRDefault="00AB33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2017 года департамент культуры и туризма обеспечивал реализацию прав граждан на свободу творчества, удовлетворение духовных потребностей, свободный доступ к культурным ценностям. На организацию работы 8  культурно-досуговых учреждений (2 Дворца культуры, 4 Домов культуры, Дома музыки и ГДМ «Октябрь») было направлено 105,2  млн. руб.  </w:t>
      </w:r>
    </w:p>
    <w:p w:rsidR="001937F5" w:rsidRDefault="001937F5">
      <w:pPr>
        <w:pStyle w:val="a3"/>
        <w:ind w:firstLine="708"/>
        <w:jc w:val="both"/>
        <w:rPr>
          <w:sz w:val="28"/>
          <w:szCs w:val="28"/>
        </w:rPr>
      </w:pPr>
    </w:p>
    <w:p w:rsidR="00335712" w:rsidRPr="000F4F7D" w:rsidRDefault="00335712" w:rsidP="000F4F7D">
      <w:pPr>
        <w:pStyle w:val="a3"/>
        <w:jc w:val="both"/>
        <w:rPr>
          <w:lang w:val="en-US"/>
        </w:rPr>
      </w:pPr>
      <w:bookmarkStart w:id="2" w:name="_GoBack"/>
      <w:bookmarkEnd w:id="2"/>
    </w:p>
    <w:p w:rsidR="00335712" w:rsidRDefault="00AB3373">
      <w:pPr>
        <w:pStyle w:val="a3"/>
        <w:ind w:firstLine="708"/>
        <w:jc w:val="both"/>
      </w:pPr>
      <w:r>
        <w:rPr>
          <w:b/>
          <w:sz w:val="28"/>
          <w:szCs w:val="28"/>
        </w:rPr>
        <w:lastRenderedPageBreak/>
        <w:t>Объем финансирования учреждений культурно-досугового типа</w:t>
      </w:r>
    </w:p>
    <w:p w:rsidR="00335712" w:rsidRDefault="00335712">
      <w:pPr>
        <w:pStyle w:val="a3"/>
        <w:ind w:firstLine="708"/>
        <w:jc w:val="both"/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451"/>
        <w:gridCol w:w="2364"/>
        <w:gridCol w:w="2370"/>
        <w:gridCol w:w="2380"/>
      </w:tblGrid>
      <w:tr w:rsidR="00335712"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 xml:space="preserve">2016  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 xml:space="preserve">2017  </w:t>
            </w:r>
          </w:p>
        </w:tc>
      </w:tr>
      <w:tr w:rsidR="00335712"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Объем бюджетного финансирования</w:t>
            </w:r>
            <w:r w:rsidR="001937F5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70 955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77578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105243</w:t>
            </w:r>
          </w:p>
        </w:tc>
      </w:tr>
    </w:tbl>
    <w:p w:rsidR="00335712" w:rsidRDefault="00335712">
      <w:pPr>
        <w:pStyle w:val="a3"/>
        <w:ind w:firstLine="708"/>
        <w:jc w:val="both"/>
      </w:pPr>
    </w:p>
    <w:p w:rsidR="00335712" w:rsidRDefault="00AB3373">
      <w:pPr>
        <w:pStyle w:val="a3"/>
        <w:ind w:firstLine="708"/>
        <w:jc w:val="center"/>
      </w:pPr>
      <w:r>
        <w:rPr>
          <w:b/>
          <w:sz w:val="28"/>
          <w:szCs w:val="28"/>
        </w:rPr>
        <w:t>Динамика показателей деятельности учреждений</w:t>
      </w: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468"/>
        <w:gridCol w:w="2369"/>
        <w:gridCol w:w="2365"/>
        <w:gridCol w:w="2363"/>
      </w:tblGrid>
      <w:tr w:rsidR="00335712"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 xml:space="preserve">2017 </w:t>
            </w:r>
          </w:p>
        </w:tc>
      </w:tr>
      <w:tr w:rsidR="00335712"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Количество мероприятий (ед.)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3348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3323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3 385</w:t>
            </w:r>
          </w:p>
        </w:tc>
      </w:tr>
      <w:tr w:rsidR="00335712"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Количество посетителей (тыс. чел.)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621,0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636,4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636,8</w:t>
            </w:r>
          </w:p>
        </w:tc>
      </w:tr>
      <w:tr w:rsidR="00335712"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Количество клубных формирований (ед.)</w:t>
            </w:r>
          </w:p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 xml:space="preserve"> и количество участников в них (чел.)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211</w:t>
            </w:r>
          </w:p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4150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215</w:t>
            </w:r>
          </w:p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4275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239</w:t>
            </w:r>
          </w:p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4355</w:t>
            </w:r>
          </w:p>
        </w:tc>
      </w:tr>
      <w:tr w:rsidR="00335712"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Привлечение внебюджетных средств (тыс. руб.)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17510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18259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sz w:val="20"/>
                <w:szCs w:val="20"/>
              </w:rPr>
              <w:t>19 710</w:t>
            </w:r>
          </w:p>
        </w:tc>
      </w:tr>
    </w:tbl>
    <w:p w:rsidR="00335712" w:rsidRDefault="00335712">
      <w:pPr>
        <w:pStyle w:val="a3"/>
        <w:jc w:val="both"/>
      </w:pP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Рост по привлечению внебюджетных средств (около 8%)  связан с объединением творческих коллективов в МУ «Липецкий Дом музыки».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В муниципальных Домах и Дворцах культуры работают 14 коллективов имеющих звание «Народный» и 6 коллективов, имеющих звание «Образцовый».  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Участники художественной самодеятельности муниципальных Домов и Дворцов культуры ежегодно принимают участие в конкурсах и фестивалях различного уровня, ежегодно растет количество победителей международных и всероссийских конкурсов и фестивалей, что свидетельствует о высоком уровне исполнительского мастерства. В рейтинге 2017 года по количеству побед лидируют  ансамбль эстрадного танца «Амира» МАУ «ГДК», участники которого стали лауреатами 1 степени в Международном фестивале «Дети России - детям Европы» (Финляндия) и клуб «</w:t>
      </w:r>
      <w:proofErr w:type="spellStart"/>
      <w:r>
        <w:rPr>
          <w:sz w:val="28"/>
          <w:szCs w:val="28"/>
        </w:rPr>
        <w:t>Νew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» МУ «ДК «Сокол», участники которого стали финалистами Чемпионата и Первенства мира по </w:t>
      </w:r>
      <w:proofErr w:type="gramStart"/>
      <w:r>
        <w:rPr>
          <w:sz w:val="28"/>
          <w:szCs w:val="28"/>
        </w:rPr>
        <w:t>фитнес-аэробике</w:t>
      </w:r>
      <w:proofErr w:type="gramEnd"/>
      <w:r>
        <w:rPr>
          <w:sz w:val="28"/>
          <w:szCs w:val="28"/>
        </w:rPr>
        <w:t xml:space="preserve"> (Нидерланды).</w:t>
      </w:r>
    </w:p>
    <w:p w:rsidR="00335712" w:rsidRDefault="00335712">
      <w:pPr>
        <w:pStyle w:val="a3"/>
        <w:ind w:firstLine="708"/>
        <w:jc w:val="both"/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458"/>
        <w:gridCol w:w="2369"/>
        <w:gridCol w:w="2369"/>
        <w:gridCol w:w="2368"/>
      </w:tblGrid>
      <w:tr w:rsidR="00335712"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sz w:val="20"/>
                <w:szCs w:val="20"/>
              </w:rPr>
              <w:t>Конкурсы и фестивали международного и всероссийского уровня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sz w:val="20"/>
                <w:szCs w:val="20"/>
              </w:rPr>
              <w:t xml:space="preserve">2017 </w:t>
            </w:r>
          </w:p>
        </w:tc>
      </w:tr>
      <w:tr w:rsidR="00335712"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sz w:val="20"/>
                <w:szCs w:val="20"/>
              </w:rPr>
              <w:t>Приняли участие (чел.)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sz w:val="20"/>
                <w:szCs w:val="20"/>
              </w:rPr>
              <w:t>760</w:t>
            </w:r>
          </w:p>
        </w:tc>
      </w:tr>
      <w:tr w:rsidR="00335712"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sz w:val="20"/>
                <w:szCs w:val="20"/>
              </w:rPr>
              <w:t>Победили (дипломы)</w:t>
            </w:r>
            <w:r w:rsidR="001937F5">
              <w:rPr>
                <w:sz w:val="20"/>
                <w:szCs w:val="20"/>
              </w:rPr>
              <w:t xml:space="preserve"> (чел.)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335712" w:rsidRDefault="00335712">
      <w:pPr>
        <w:pStyle w:val="a3"/>
      </w:pP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Из средств ведомственной целевой программы «Сохранение и развитие культуры и искусства г. Липецка 2017-2022 гг.» на сумму 100 тыс. рублей профинансировано участие коллективов художественной самодеятельности муниципальных учреждений культуры в конкурсах и фестивалях: Шестые молодежные Дельфийские игры России (г. Екатеринбург) - МАУК «ГДК»;  Чемпионаты  и Первенство России по спортивным бальным танцам (г. Казань) – МУ «ДК «Сокол».</w:t>
      </w:r>
    </w:p>
    <w:p w:rsidR="00335712" w:rsidRDefault="00AB3373">
      <w:pPr>
        <w:pStyle w:val="a3"/>
        <w:ind w:firstLine="708"/>
        <w:jc w:val="both"/>
      </w:pPr>
      <w:r>
        <w:rPr>
          <w:i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МУ «Липецкий симфонический оркестр»   и профессиональные творческие коллективы в составе Дома музыки подготовили  34 новые концертные программы, осуществлены  </w:t>
      </w:r>
      <w:proofErr w:type="spellStart"/>
      <w:r>
        <w:rPr>
          <w:sz w:val="28"/>
          <w:szCs w:val="28"/>
        </w:rPr>
        <w:t>разножанровые</w:t>
      </w:r>
      <w:proofErr w:type="spellEnd"/>
      <w:r>
        <w:rPr>
          <w:sz w:val="28"/>
          <w:szCs w:val="28"/>
        </w:rPr>
        <w:t xml:space="preserve"> творческие  проекты. </w:t>
      </w:r>
      <w:proofErr w:type="gramStart"/>
      <w:r>
        <w:rPr>
          <w:sz w:val="28"/>
          <w:szCs w:val="28"/>
        </w:rPr>
        <w:t>Среди них концерт, посвященный 25-летию со дня основания ансамбля народной песни «</w:t>
      </w:r>
      <w:proofErr w:type="spellStart"/>
      <w:r>
        <w:rPr>
          <w:sz w:val="28"/>
          <w:szCs w:val="28"/>
        </w:rPr>
        <w:t>Зень</w:t>
      </w:r>
      <w:proofErr w:type="spellEnd"/>
      <w:r>
        <w:rPr>
          <w:sz w:val="28"/>
          <w:szCs w:val="28"/>
        </w:rPr>
        <w:t xml:space="preserve">» им. В. Владимировой, концерт камерного хора в рамках Всероссийского гранта «Сохранить и приумножить», проект «Джаз и опера»  Липецкого  симфонического оркестра  с участием лауреата международных конкурсов, лауреата премии </w:t>
      </w:r>
      <w:proofErr w:type="spellStart"/>
      <w:r>
        <w:rPr>
          <w:sz w:val="28"/>
          <w:szCs w:val="28"/>
        </w:rPr>
        <w:t>Гремми</w:t>
      </w:r>
      <w:proofErr w:type="spellEnd"/>
      <w:r>
        <w:rPr>
          <w:sz w:val="28"/>
          <w:szCs w:val="28"/>
        </w:rPr>
        <w:t>, звезды мировой оперы Екатерины Лехиной (г. Москва) и солистки мировых мюзиклов, лауреата международных конкурсов Ольги Годуновой (г. Москва).</w:t>
      </w:r>
      <w:proofErr w:type="gramEnd"/>
      <w:r>
        <w:rPr>
          <w:sz w:val="28"/>
          <w:szCs w:val="28"/>
        </w:rPr>
        <w:t xml:space="preserve"> Концерт состоялся при поддержке Торгово-промышленной палаты. Впервые, в рамках программы сохранения казачьей культуры, состоялся Первый открытый городской конкурс казачьей культуры «Казачьи родники-2017». В нем приняли участие более 350 человек. Это коллективы и солисты из Липецка, Липецкой области, Тамбова и Воронежа.  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МУ «Липецкий симфонический оркестр» дважды выезжал на зарубежные гастроли.  Принял участие в 10-м Международном фестивале «Музыка на Перламутровом побережье» во Франции, дал 11 концертов в Китае.  Впервые оркестр стал участником постановки - балета П.И. Чайковского «Щелкунчик» совместно с артистами Михайловского театра (г. Санкт-Петербург).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 За отчетный период Липецкий драматический театр выпустил три премьерных спектакля: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>- «Жениться Вам надо, барин!» В. Сологуб, Н. Некрасов (по произведениям «Беда от нежного сердца» и «Осенняя скука»);</w:t>
      </w:r>
    </w:p>
    <w:p w:rsidR="00335712" w:rsidRDefault="00AB3373">
      <w:pPr>
        <w:pStyle w:val="a3"/>
        <w:jc w:val="both"/>
      </w:pPr>
      <w:proofErr w:type="gramStart"/>
      <w:r>
        <w:rPr>
          <w:sz w:val="28"/>
          <w:szCs w:val="28"/>
        </w:rPr>
        <w:t xml:space="preserve">-  «Вечера на хуторе» по повести </w:t>
      </w:r>
      <w:proofErr w:type="spellStart"/>
      <w:r>
        <w:rPr>
          <w:sz w:val="28"/>
          <w:szCs w:val="28"/>
        </w:rPr>
        <w:t>Н.Гоголя</w:t>
      </w:r>
      <w:proofErr w:type="spellEnd"/>
      <w:r>
        <w:rPr>
          <w:sz w:val="28"/>
          <w:szCs w:val="28"/>
        </w:rPr>
        <w:t xml:space="preserve"> «Ночь перед Рождеством» в рамках гранта министерства культуры РФ «Поддержка молодой режиссуры»), режиссер-постановщик А. Истомин (город Санкт-Петербург);</w:t>
      </w:r>
      <w:proofErr w:type="gramEnd"/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- «Как принц-кролик на принцессе женился» Д. </w:t>
      </w:r>
      <w:proofErr w:type="spellStart"/>
      <w:r>
        <w:rPr>
          <w:sz w:val="28"/>
          <w:szCs w:val="28"/>
        </w:rPr>
        <w:t>Салимзнова</w:t>
      </w:r>
      <w:proofErr w:type="spellEnd"/>
      <w:r>
        <w:rPr>
          <w:sz w:val="28"/>
          <w:szCs w:val="28"/>
        </w:rPr>
        <w:t xml:space="preserve">. По итогам конкурса «В зеркале сцены» творческий коллектив МУ «Липецкий драматический театр» стал победителем в номинации «Событие года» со спектаклем «Не покидай меня» А </w:t>
      </w:r>
      <w:proofErr w:type="spellStart"/>
      <w:r>
        <w:rPr>
          <w:sz w:val="28"/>
          <w:szCs w:val="28"/>
        </w:rPr>
        <w:t>Дударева</w:t>
      </w:r>
      <w:proofErr w:type="spellEnd"/>
      <w:r>
        <w:rPr>
          <w:sz w:val="28"/>
          <w:szCs w:val="28"/>
        </w:rPr>
        <w:t xml:space="preserve"> (режиссер-постановщик </w:t>
      </w:r>
      <w:proofErr w:type="spellStart"/>
      <w:r>
        <w:rPr>
          <w:sz w:val="28"/>
          <w:szCs w:val="28"/>
        </w:rPr>
        <w:t>Г.Балабаев</w:t>
      </w:r>
      <w:proofErr w:type="spellEnd"/>
      <w:r>
        <w:rPr>
          <w:sz w:val="28"/>
          <w:szCs w:val="28"/>
        </w:rPr>
        <w:t xml:space="preserve">). А также награжден дипломом в номинации «За лучшую сценографию» (художник-постановщик </w:t>
      </w:r>
      <w:proofErr w:type="spellStart"/>
      <w:r>
        <w:rPr>
          <w:sz w:val="28"/>
          <w:szCs w:val="28"/>
        </w:rPr>
        <w:t>Е.Шепелев</w:t>
      </w:r>
      <w:proofErr w:type="spellEnd"/>
      <w:r>
        <w:rPr>
          <w:sz w:val="28"/>
          <w:szCs w:val="28"/>
        </w:rPr>
        <w:t xml:space="preserve">) и в номинации «За лучшее пластическое решение» роли (артист театра Михаил </w:t>
      </w:r>
      <w:proofErr w:type="spellStart"/>
      <w:r>
        <w:rPr>
          <w:sz w:val="28"/>
          <w:szCs w:val="28"/>
        </w:rPr>
        <w:t>Груфанов</w:t>
      </w:r>
      <w:proofErr w:type="spellEnd"/>
      <w:r>
        <w:rPr>
          <w:sz w:val="28"/>
          <w:szCs w:val="28"/>
        </w:rPr>
        <w:t xml:space="preserve"> за исполнение роли «Черта») в спектакле «Вечера на хуторе» по произведению </w:t>
      </w:r>
      <w:proofErr w:type="spellStart"/>
      <w:r>
        <w:rPr>
          <w:sz w:val="28"/>
          <w:szCs w:val="28"/>
        </w:rPr>
        <w:t>Н.Гоголя</w:t>
      </w:r>
      <w:proofErr w:type="spellEnd"/>
      <w:r>
        <w:rPr>
          <w:sz w:val="28"/>
          <w:szCs w:val="28"/>
        </w:rPr>
        <w:t xml:space="preserve"> «Ночь перед Рождеством».  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2017 году состоялись большие обменные гастроли МУ «Липецкий драматический театр» в Смоленском драматическом театре им. А.С. Грибоедова  и в Ленинградском государственном театре драмы и кукол «Святая крепость», (г. Выборг), на средства гранта министерства культуры РФ «На поддержку гастрольной деятельности».</w:t>
      </w: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428"/>
        <w:gridCol w:w="2390"/>
        <w:gridCol w:w="2373"/>
        <w:gridCol w:w="2373"/>
      </w:tblGrid>
      <w:tr w:rsidR="00335712"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 xml:space="preserve"> Показатель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2015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2016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2017</w:t>
            </w:r>
          </w:p>
        </w:tc>
      </w:tr>
      <w:tr w:rsidR="00335712"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Количество спектаклей (ед.)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147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151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161</w:t>
            </w:r>
          </w:p>
        </w:tc>
      </w:tr>
      <w:tr w:rsidR="00335712"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lastRenderedPageBreak/>
              <w:t>Доходы от показа спектаклей</w:t>
            </w:r>
            <w:r w:rsidR="001937F5">
              <w:t xml:space="preserve"> (тыс. чел.)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11 850,1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12 241,88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12 213,88</w:t>
            </w:r>
          </w:p>
        </w:tc>
      </w:tr>
    </w:tbl>
    <w:p w:rsidR="00335712" w:rsidRPr="001937F5" w:rsidRDefault="00335712">
      <w:pPr>
        <w:pStyle w:val="a3"/>
        <w:ind w:firstLine="708"/>
        <w:jc w:val="both"/>
      </w:pPr>
    </w:p>
    <w:p w:rsidR="00335712" w:rsidRDefault="00AB33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того, как уже было сказано выше, Липецким драматическим театром получен грант Министерства культуру РФ на поддержку молодой режиссуры в сумме 1 млн. руб. и реализацию проекта «Большие гастроли» в сумме 476 тыс. руб.  </w:t>
      </w:r>
    </w:p>
    <w:p w:rsidR="00E05626" w:rsidRDefault="00E05626">
      <w:pPr>
        <w:pStyle w:val="a3"/>
        <w:jc w:val="both"/>
      </w:pPr>
      <w:r>
        <w:rPr>
          <w:sz w:val="28"/>
          <w:szCs w:val="28"/>
        </w:rPr>
        <w:t xml:space="preserve">       Снижение объема внебюджетных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язано с увеличение количества благотворительных сеансов. Более 1000 детей, в том числе и дети с ограниченными возможностями здоровья, посетили спектакли бесплатно.</w:t>
      </w:r>
    </w:p>
    <w:p w:rsidR="00335712" w:rsidRDefault="00335712">
      <w:pPr>
        <w:pStyle w:val="a3"/>
        <w:jc w:val="both"/>
      </w:pPr>
    </w:p>
    <w:p w:rsidR="00335712" w:rsidRPr="00AB3373" w:rsidRDefault="00AB3373">
      <w:pPr>
        <w:pStyle w:val="a3"/>
        <w:jc w:val="center"/>
      </w:pPr>
      <w:r w:rsidRPr="00AB3373">
        <w:rPr>
          <w:sz w:val="28"/>
          <w:szCs w:val="28"/>
        </w:rPr>
        <w:t>3. Создание условий для массового отдыха населения</w:t>
      </w:r>
    </w:p>
    <w:p w:rsidR="00335712" w:rsidRDefault="00335712">
      <w:pPr>
        <w:pStyle w:val="a3"/>
        <w:jc w:val="center"/>
      </w:pP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 Одной из главных задач департамента является создание условий </w:t>
      </w:r>
      <w:r>
        <w:rPr>
          <w:sz w:val="28"/>
          <w:szCs w:val="28"/>
        </w:rPr>
        <w:br/>
        <w:t>для массового отдыха жителей и гостей города. Она выполняется организацией работы трех парков отдыха и зоологического парка, финансирование учреждений осуществляется из нескольких источников.</w:t>
      </w:r>
    </w:p>
    <w:p w:rsidR="00335712" w:rsidRDefault="00335712">
      <w:pPr>
        <w:pStyle w:val="a3"/>
        <w:ind w:firstLine="708"/>
        <w:jc w:val="both"/>
      </w:pPr>
    </w:p>
    <w:p w:rsidR="00335712" w:rsidRDefault="00AB3373">
      <w:pPr>
        <w:pStyle w:val="a3"/>
        <w:jc w:val="right"/>
      </w:pPr>
      <w:r>
        <w:rPr>
          <w:sz w:val="28"/>
          <w:szCs w:val="28"/>
        </w:rPr>
        <w:t>тыс. руб.</w:t>
      </w:r>
    </w:p>
    <w:tbl>
      <w:tblPr>
        <w:tblW w:w="0" w:type="auto"/>
        <w:jc w:val="center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937"/>
        <w:gridCol w:w="1135"/>
        <w:gridCol w:w="1700"/>
        <w:gridCol w:w="1847"/>
        <w:gridCol w:w="1707"/>
      </w:tblGrid>
      <w:tr w:rsidR="00335712">
        <w:trPr>
          <w:trHeight w:val="465"/>
          <w:jc w:val="center"/>
        </w:trPr>
        <w:tc>
          <w:tcPr>
            <w:tcW w:w="4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2017</w:t>
            </w:r>
          </w:p>
        </w:tc>
      </w:tr>
      <w:tr w:rsidR="00335712">
        <w:trPr>
          <w:trHeight w:val="592"/>
          <w:jc w:val="center"/>
        </w:trPr>
        <w:tc>
          <w:tcPr>
            <w:tcW w:w="2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</w:pPr>
            <w:r>
              <w:t>Субсидия на выполнение муниципального задания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</w:pPr>
            <w:r>
              <w:t>Парки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16 400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14 200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17 100</w:t>
            </w:r>
          </w:p>
        </w:tc>
      </w:tr>
      <w:tr w:rsidR="00335712">
        <w:trPr>
          <w:trHeight w:val="641"/>
          <w:jc w:val="center"/>
        </w:trPr>
        <w:tc>
          <w:tcPr>
            <w:tcW w:w="2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335712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</w:pPr>
            <w:r>
              <w:t>Зоопарк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20 800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17 900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20 010</w:t>
            </w:r>
          </w:p>
        </w:tc>
      </w:tr>
      <w:tr w:rsidR="00335712">
        <w:trPr>
          <w:trHeight w:val="623"/>
          <w:jc w:val="center"/>
        </w:trPr>
        <w:tc>
          <w:tcPr>
            <w:tcW w:w="2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</w:pPr>
            <w:r>
              <w:t xml:space="preserve">Субсидия на иные цели </w:t>
            </w:r>
            <w:r>
              <w:br/>
              <w:t xml:space="preserve">(в </w:t>
            </w:r>
            <w:proofErr w:type="spellStart"/>
            <w:r>
              <w:t>т.ч</w:t>
            </w:r>
            <w:proofErr w:type="spellEnd"/>
            <w:r>
              <w:t>. городской и областной бюджеты)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</w:pPr>
            <w:r>
              <w:t>Парки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2 800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62 900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9 843</w:t>
            </w:r>
          </w:p>
        </w:tc>
      </w:tr>
      <w:tr w:rsidR="00335712">
        <w:trPr>
          <w:trHeight w:val="561"/>
          <w:jc w:val="center"/>
        </w:trPr>
        <w:tc>
          <w:tcPr>
            <w:tcW w:w="2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335712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</w:pPr>
            <w:r>
              <w:t>Зоопарк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605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4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15</w:t>
            </w:r>
          </w:p>
        </w:tc>
      </w:tr>
      <w:tr w:rsidR="00335712">
        <w:trPr>
          <w:trHeight w:val="643"/>
          <w:jc w:val="center"/>
        </w:trPr>
        <w:tc>
          <w:tcPr>
            <w:tcW w:w="2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</w:pPr>
            <w: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</w:pPr>
            <w:r>
              <w:t>Парки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67 400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66 400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71 400</w:t>
            </w:r>
          </w:p>
        </w:tc>
      </w:tr>
      <w:tr w:rsidR="00335712">
        <w:trPr>
          <w:trHeight w:val="565"/>
          <w:jc w:val="center"/>
        </w:trPr>
        <w:tc>
          <w:tcPr>
            <w:tcW w:w="2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335712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</w:pPr>
            <w:r>
              <w:t>Зоопарк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34 300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31 200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36 000</w:t>
            </w:r>
          </w:p>
        </w:tc>
      </w:tr>
    </w:tbl>
    <w:p w:rsidR="00335712" w:rsidRDefault="00335712">
      <w:pPr>
        <w:pStyle w:val="a3"/>
        <w:ind w:firstLine="709"/>
        <w:jc w:val="both"/>
      </w:pPr>
    </w:p>
    <w:p w:rsidR="00335712" w:rsidRDefault="00AB3373">
      <w:pPr>
        <w:pStyle w:val="a3"/>
        <w:ind w:firstLine="709"/>
        <w:jc w:val="both"/>
      </w:pPr>
      <w:r>
        <w:rPr>
          <w:sz w:val="28"/>
          <w:szCs w:val="28"/>
        </w:rPr>
        <w:t xml:space="preserve">В парках и зоопарке города Липецка отмечается рост привлечения внебюджетных средств, который составил 10,6% по сравнению с 2016 годом, </w:t>
      </w:r>
      <w:r>
        <w:rPr>
          <w:sz w:val="28"/>
          <w:szCs w:val="28"/>
        </w:rPr>
        <w:br/>
        <w:t>что связано в первую очередь с размещением аттракциона «Колесо обозрения» в Нижнем парке и увеличением количества посетителей Липецкого зоопарка. Также комплекс мероприятий по благоустройству парковых территорий, проведенный в 2016 году, позволил повысить уровень комфорта (новая парковая мебель, плитка, освещение), что позволило привлечь дополнительные потоки посетителей.</w:t>
      </w:r>
    </w:p>
    <w:p w:rsidR="00335712" w:rsidRDefault="00AB3373">
      <w:pPr>
        <w:pStyle w:val="a3"/>
        <w:ind w:firstLine="709"/>
        <w:jc w:val="both"/>
      </w:pPr>
      <w:r>
        <w:rPr>
          <w:sz w:val="28"/>
          <w:szCs w:val="28"/>
        </w:rPr>
        <w:t xml:space="preserve">В отчетном периоде к приоритетным направлениям отрасли отнесено благоустройство парковых территорий города, так, в частности, в рамках городской акции «Чистый город – 2017» в парках и зоопарке проведено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40 субботников и вывезено 580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мусора, а также посажено 390 деревьев </w:t>
      </w:r>
      <w:r>
        <w:rPr>
          <w:sz w:val="28"/>
          <w:szCs w:val="28"/>
        </w:rPr>
        <w:br/>
        <w:t>и 139 кустарников.</w:t>
      </w:r>
    </w:p>
    <w:p w:rsidR="00335712" w:rsidRDefault="00AB3373">
      <w:pPr>
        <w:pStyle w:val="a3"/>
        <w:ind w:firstLine="709"/>
        <w:jc w:val="both"/>
      </w:pPr>
      <w:r>
        <w:rPr>
          <w:sz w:val="28"/>
          <w:szCs w:val="28"/>
        </w:rPr>
        <w:t xml:space="preserve">В МАУК «Нижний парк» произведена вырубка сухостоя и самосева на площади 36 Га, вывезено 4 153 куб. метров мусора. В рамках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-частного партнерства в отчетном периоде на территории парка установлены новые аттракционы: «Колесо обозрения» и «Свадебная карусель». В рамках проекта ПАО «НЛМК» «Стальное дерево» в МАУК «Нижний парк» </w:t>
      </w:r>
      <w:proofErr w:type="gramStart"/>
      <w:r>
        <w:rPr>
          <w:sz w:val="28"/>
          <w:szCs w:val="28"/>
        </w:rPr>
        <w:t>проведена механизированная очистка отводной канавы этим самым начата</w:t>
      </w:r>
      <w:proofErr w:type="gramEnd"/>
      <w:r>
        <w:rPr>
          <w:sz w:val="28"/>
          <w:szCs w:val="28"/>
        </w:rPr>
        <w:t xml:space="preserve"> работа по водопонижению и планируемой в 2018 году реконструкции парка. </w:t>
      </w:r>
    </w:p>
    <w:p w:rsidR="00335712" w:rsidRDefault="00AB3373">
      <w:pPr>
        <w:pStyle w:val="a3"/>
        <w:ind w:firstLine="709"/>
        <w:jc w:val="both"/>
      </w:pPr>
      <w:r>
        <w:rPr>
          <w:sz w:val="28"/>
          <w:szCs w:val="28"/>
        </w:rPr>
        <w:t>Во исполнение приоритетного проекта «Здоровый регион», в целях привлечения посетителей парка к занятиям спортом в 2 парках («Нижний парк» и «Парк «</w:t>
      </w:r>
      <w:proofErr w:type="spellStart"/>
      <w:r>
        <w:rPr>
          <w:sz w:val="28"/>
          <w:szCs w:val="28"/>
        </w:rPr>
        <w:t>Быханов</w:t>
      </w:r>
      <w:proofErr w:type="spellEnd"/>
      <w:r>
        <w:rPr>
          <w:sz w:val="28"/>
          <w:szCs w:val="28"/>
        </w:rPr>
        <w:t xml:space="preserve"> сад») установлены комплексы для сдачи норм ГТО.</w:t>
      </w:r>
    </w:p>
    <w:p w:rsidR="00335712" w:rsidRDefault="00AB3373">
      <w:pPr>
        <w:pStyle w:val="a3"/>
        <w:ind w:firstLine="709"/>
        <w:jc w:val="both"/>
      </w:pPr>
      <w:r>
        <w:rPr>
          <w:sz w:val="28"/>
          <w:szCs w:val="28"/>
        </w:rPr>
        <w:t xml:space="preserve">В целях повышения привлекательности парков в МАУК Нижний парк» установлены малые архитектурные формы: «Зима и заботливый столб», «Шпиль Петра I», 2 </w:t>
      </w:r>
      <w:proofErr w:type="spellStart"/>
      <w:r>
        <w:rPr>
          <w:sz w:val="28"/>
          <w:szCs w:val="28"/>
        </w:rPr>
        <w:t>топиарных</w:t>
      </w:r>
      <w:proofErr w:type="spellEnd"/>
      <w:r>
        <w:rPr>
          <w:sz w:val="28"/>
          <w:szCs w:val="28"/>
        </w:rPr>
        <w:t xml:space="preserve"> фигуры «Медведь». В МАУК «Парк Победы» создано 6 релаксационных пейзажных уголков с лавочками, песочницами и библиотечными домиками, установлено 10 малых архитектурных форм, размещен комплекс парковой мебели, установлен аттракцион с элементами виртуальной реальности «Симулятор воздушного боя»; открыт детский веревочный парк и площадка для игры в мини-гольф. В МАУК «Парк «</w:t>
      </w:r>
      <w:proofErr w:type="spellStart"/>
      <w:r>
        <w:rPr>
          <w:sz w:val="28"/>
          <w:szCs w:val="28"/>
        </w:rPr>
        <w:t>Быханов</w:t>
      </w:r>
      <w:proofErr w:type="spellEnd"/>
      <w:r>
        <w:rPr>
          <w:sz w:val="28"/>
          <w:szCs w:val="28"/>
        </w:rPr>
        <w:t xml:space="preserve"> сад» произведена замена асфальтобетонного покрытия на площади более 2 000 кв. метров. С целью обновления аттракционной базы в парке проведен комплекс работ по демонтажу списанных и устаревших аттракционов. В парковой территории по улице Адмирала Макарова проведен комплекс работ по подготовке места размещения детского парка «Забава».</w:t>
      </w:r>
    </w:p>
    <w:p w:rsidR="00335712" w:rsidRDefault="00AB3373">
      <w:pPr>
        <w:pStyle w:val="a3"/>
        <w:ind w:firstLine="709"/>
        <w:jc w:val="both"/>
      </w:pPr>
      <w:r>
        <w:rPr>
          <w:sz w:val="28"/>
          <w:szCs w:val="28"/>
        </w:rPr>
        <w:t>В МАУК «Липецкий зоопарк» за счет внебюджетных денежных средств осуществляется строительство здания для содержания и показа обезьян. Произведен ремонт помещения «Виварий» и художественная роспись вольеров хищных животных, установка малых архитектурных форм. Необходимо отметить, что в 2017 году учреждение одержало победу в конкурсе «100 лучших предприятий и организаций России 2017» в номинации: «Лучшая организация в сфере культуры и отдыха».</w:t>
      </w:r>
    </w:p>
    <w:p w:rsidR="00335712" w:rsidRDefault="00AB3373">
      <w:pPr>
        <w:pStyle w:val="a3"/>
        <w:ind w:firstLine="709"/>
        <w:jc w:val="both"/>
      </w:pPr>
      <w:r>
        <w:rPr>
          <w:sz w:val="28"/>
          <w:szCs w:val="28"/>
        </w:rPr>
        <w:t>Один из основных видов деятельности парков – культурно-массовая работа, проведение которой осложняется множеством факторов,  в числе которых неблагоприятные погодные условия, падение покупательского спроса населения, существенная конкуренция со стороны частных структур.</w:t>
      </w:r>
    </w:p>
    <w:p w:rsidR="00335712" w:rsidRDefault="00335712">
      <w:pPr>
        <w:pStyle w:val="a3"/>
        <w:ind w:firstLine="709"/>
        <w:jc w:val="both"/>
      </w:pPr>
    </w:p>
    <w:p w:rsidR="00335712" w:rsidRDefault="00AB3373">
      <w:pPr>
        <w:pStyle w:val="a3"/>
        <w:jc w:val="center"/>
      </w:pPr>
      <w:r>
        <w:rPr>
          <w:sz w:val="28"/>
          <w:szCs w:val="28"/>
        </w:rPr>
        <w:t>Динамика показателей деятельности учреждений</w:t>
      </w: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166"/>
        <w:gridCol w:w="1248"/>
        <w:gridCol w:w="1727"/>
        <w:gridCol w:w="1600"/>
        <w:gridCol w:w="1830"/>
      </w:tblGrid>
      <w:tr w:rsidR="00335712">
        <w:trPr>
          <w:trHeight w:val="481"/>
        </w:trPr>
        <w:tc>
          <w:tcPr>
            <w:tcW w:w="4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center"/>
            </w:pPr>
            <w:r>
              <w:t>Показатель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center"/>
            </w:pPr>
            <w:r>
              <w:t>2015 год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center"/>
            </w:pPr>
            <w:r>
              <w:t>2016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center"/>
            </w:pPr>
            <w:r>
              <w:t>2017 год</w:t>
            </w:r>
          </w:p>
        </w:tc>
      </w:tr>
      <w:tr w:rsidR="00335712">
        <w:trPr>
          <w:trHeight w:val="416"/>
        </w:trPr>
        <w:tc>
          <w:tcPr>
            <w:tcW w:w="3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</w:pPr>
            <w:r>
              <w:t>Общее количество посетителей (тыс. чел.)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</w:pPr>
            <w:r>
              <w:t>Парки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3 535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3 530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4 350</w:t>
            </w:r>
          </w:p>
        </w:tc>
      </w:tr>
      <w:tr w:rsidR="00335712">
        <w:trPr>
          <w:trHeight w:val="407"/>
        </w:trPr>
        <w:tc>
          <w:tcPr>
            <w:tcW w:w="3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335712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</w:pPr>
            <w:r>
              <w:t>Зоопарк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220,3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208,4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217,5</w:t>
            </w:r>
          </w:p>
        </w:tc>
      </w:tr>
      <w:tr w:rsidR="00335712">
        <w:trPr>
          <w:trHeight w:val="835"/>
        </w:trPr>
        <w:tc>
          <w:tcPr>
            <w:tcW w:w="4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</w:pPr>
            <w:r>
              <w:lastRenderedPageBreak/>
              <w:t>Общее количество культурно-массовых мероприятий (ед.)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3 551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3 857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right"/>
            </w:pPr>
            <w:r>
              <w:t>4 517</w:t>
            </w:r>
          </w:p>
        </w:tc>
      </w:tr>
    </w:tbl>
    <w:p w:rsidR="00335712" w:rsidRDefault="00335712">
      <w:pPr>
        <w:pStyle w:val="a3"/>
        <w:jc w:val="both"/>
      </w:pP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Необходимо отметить, что </w:t>
      </w:r>
      <w:proofErr w:type="gramStart"/>
      <w:r>
        <w:rPr>
          <w:sz w:val="28"/>
          <w:szCs w:val="28"/>
        </w:rPr>
        <w:t>парках</w:t>
      </w:r>
      <w:proofErr w:type="gramEnd"/>
      <w:r>
        <w:rPr>
          <w:sz w:val="28"/>
          <w:szCs w:val="28"/>
        </w:rPr>
        <w:t xml:space="preserve"> в 2017 году увеличилось количество посетителей по сравнению с 2016 годом на 23%. Данный рост связан с проведенным в 2016 году комплексом работ по благоустройству, что повысило привлекательность парков. В то же время в парках увеличилось количество проводимых мероприятий (рост на 17%) и их качество.</w:t>
      </w:r>
    </w:p>
    <w:p w:rsidR="00335712" w:rsidRDefault="00AB3373" w:rsidP="00E05626">
      <w:pPr>
        <w:pStyle w:val="a3"/>
        <w:ind w:firstLine="708"/>
        <w:jc w:val="both"/>
      </w:pPr>
      <w:r>
        <w:rPr>
          <w:sz w:val="28"/>
          <w:szCs w:val="28"/>
        </w:rPr>
        <w:t>Так МАУК «Нижний парк» традиционно стал площадкой для проведения ряда фестивалей: молодежного фестиваля «Альтернатива», спортивного фестиваля «Созвездие», аниме-фестиваля «</w:t>
      </w:r>
      <w:proofErr w:type="spellStart"/>
      <w:r>
        <w:rPr>
          <w:sz w:val="28"/>
          <w:szCs w:val="28"/>
        </w:rPr>
        <w:t>InMagic</w:t>
      </w:r>
      <w:proofErr w:type="spellEnd"/>
      <w:r>
        <w:rPr>
          <w:sz w:val="28"/>
          <w:szCs w:val="28"/>
        </w:rPr>
        <w:t>», событийных фестивалей «Липецкие воды» и «Липецкое городище», чемпионата по силовому экстриму «</w:t>
      </w:r>
      <w:proofErr w:type="spellStart"/>
      <w:r>
        <w:rPr>
          <w:sz w:val="28"/>
          <w:szCs w:val="28"/>
        </w:rPr>
        <w:t>Strongman</w:t>
      </w:r>
      <w:proofErr w:type="spellEnd"/>
      <w:r>
        <w:rPr>
          <w:sz w:val="28"/>
          <w:szCs w:val="28"/>
        </w:rPr>
        <w:t xml:space="preserve"> 2017». В верхнем парке летом функционировал лагерь профессий «Мудрая сова» и регулярные анимационные программы.  В МАУК «Парк Победы» в течение паркового сезона наибольшей популярностью среди посетителей пользовались серия концертных программ государственного театра танцев «Казаки России», фестиваль </w:t>
      </w:r>
      <w:proofErr w:type="spellStart"/>
      <w:r>
        <w:rPr>
          <w:sz w:val="28"/>
          <w:szCs w:val="28"/>
        </w:rPr>
        <w:t>Мистюкова</w:t>
      </w:r>
      <w:proofErr w:type="spellEnd"/>
      <w:r>
        <w:rPr>
          <w:sz w:val="28"/>
          <w:szCs w:val="28"/>
        </w:rPr>
        <w:t>, фестиваль «День рождения Парка Победы». Успешно продолжают работать клубы здоровья «</w:t>
      </w:r>
      <w:proofErr w:type="spellStart"/>
      <w:r>
        <w:rPr>
          <w:sz w:val="28"/>
          <w:szCs w:val="28"/>
        </w:rPr>
        <w:t>Цигун</w:t>
      </w:r>
      <w:proofErr w:type="spellEnd"/>
      <w:r>
        <w:rPr>
          <w:sz w:val="28"/>
          <w:szCs w:val="28"/>
        </w:rPr>
        <w:t xml:space="preserve">», «Йога», «Фитнес» и «Дыхание по методике Стрельниковой». </w:t>
      </w:r>
    </w:p>
    <w:p w:rsidR="00335712" w:rsidRDefault="00335712">
      <w:pPr>
        <w:pStyle w:val="a3"/>
        <w:ind w:firstLine="708"/>
        <w:jc w:val="both"/>
      </w:pPr>
    </w:p>
    <w:p w:rsidR="00335712" w:rsidRPr="00AB3373" w:rsidRDefault="00AB3373">
      <w:pPr>
        <w:pStyle w:val="a3"/>
        <w:jc w:val="center"/>
      </w:pPr>
      <w:r w:rsidRPr="00AB3373">
        <w:rPr>
          <w:sz w:val="28"/>
          <w:szCs w:val="28"/>
        </w:rPr>
        <w:t>4. Организация библиотечного обслуживания населения</w:t>
      </w:r>
    </w:p>
    <w:p w:rsidR="00335712" w:rsidRDefault="00335712">
      <w:pPr>
        <w:pStyle w:val="a3"/>
        <w:jc w:val="center"/>
      </w:pP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МУ «ЦБС» города Липецка (27 библиотек) выполняет задачи по организации библиотечного обслуживания населения города Липецка.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Достижение контрольных показателей в отчетном периоде обеспечено финансированием за счет городского бюджета в сумме 70,1 млн. руб., в том числе на выполнение муниципального задания – 63,6 млн. рублей (27% роста к уровню прошлого года).</w:t>
      </w:r>
    </w:p>
    <w:p w:rsidR="00335712" w:rsidRDefault="00335712">
      <w:pPr>
        <w:pStyle w:val="a3"/>
        <w:ind w:firstLine="708"/>
        <w:jc w:val="both"/>
      </w:pPr>
    </w:p>
    <w:p w:rsidR="00335712" w:rsidRDefault="00AB3373" w:rsidP="001937F5">
      <w:pPr>
        <w:pStyle w:val="a3"/>
        <w:jc w:val="center"/>
      </w:pPr>
      <w:r>
        <w:rPr>
          <w:sz w:val="28"/>
          <w:szCs w:val="28"/>
        </w:rPr>
        <w:t>Объем и источники финанси</w:t>
      </w:r>
      <w:r w:rsidR="001937F5">
        <w:rPr>
          <w:sz w:val="28"/>
          <w:szCs w:val="28"/>
        </w:rPr>
        <w:t>рования книжного комплектования</w:t>
      </w: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078"/>
        <w:gridCol w:w="2105"/>
        <w:gridCol w:w="2265"/>
        <w:gridCol w:w="2117"/>
      </w:tblGrid>
      <w:tr w:rsidR="00335712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rPr>
                <w:b/>
              </w:rPr>
              <w:t>Источник финансирования</w:t>
            </w:r>
          </w:p>
          <w:p w:rsidR="00335712" w:rsidRDefault="00AB3373">
            <w:pPr>
              <w:pStyle w:val="a3"/>
              <w:jc w:val="both"/>
            </w:pPr>
            <w:r>
              <w:rPr>
                <w:b/>
              </w:rPr>
              <w:t>(тыс. руб.)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335712" w:rsidRDefault="00AB3373">
            <w:pPr>
              <w:pStyle w:val="a3"/>
              <w:jc w:val="center"/>
            </w:pPr>
            <w:r>
              <w:rPr>
                <w:b/>
              </w:rPr>
              <w:t>2017</w:t>
            </w:r>
          </w:p>
        </w:tc>
      </w:tr>
      <w:tr w:rsidR="00335712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Городской бюджет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4 404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3 000,0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2 000,0</w:t>
            </w:r>
          </w:p>
        </w:tc>
      </w:tr>
      <w:tr w:rsidR="00335712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Областной бюджет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754,5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597,8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635,6</w:t>
            </w:r>
          </w:p>
        </w:tc>
      </w:tr>
      <w:tr w:rsidR="00335712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Федеральный бюджет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61,9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28,3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69,7</w:t>
            </w:r>
          </w:p>
        </w:tc>
      </w:tr>
      <w:tr w:rsidR="00335712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Всего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5 220,4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3 626,1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2 705,3</w:t>
            </w:r>
          </w:p>
        </w:tc>
      </w:tr>
    </w:tbl>
    <w:p w:rsidR="00335712" w:rsidRDefault="00335712">
      <w:pPr>
        <w:pStyle w:val="a3"/>
        <w:ind w:firstLine="708"/>
        <w:jc w:val="both"/>
      </w:pP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МУ «ЦБС» города Липецка активно работает по привлечению  внебюджетных средств.  Платными услугами библиотеки привлекли 886 539,5 руб. – на 21% больше, чем в предыдущем году.</w:t>
      </w:r>
    </w:p>
    <w:p w:rsidR="00335712" w:rsidRDefault="00335712">
      <w:pPr>
        <w:pStyle w:val="a3"/>
        <w:ind w:firstLine="708"/>
        <w:jc w:val="both"/>
      </w:pPr>
    </w:p>
    <w:p w:rsidR="00335712" w:rsidRDefault="00AB3373">
      <w:pPr>
        <w:pStyle w:val="a3"/>
        <w:jc w:val="center"/>
      </w:pPr>
      <w:r>
        <w:rPr>
          <w:sz w:val="28"/>
          <w:szCs w:val="28"/>
        </w:rPr>
        <w:t>Основные статистические показатели МУ «ЦБС» города Липецка</w:t>
      </w: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428"/>
        <w:gridCol w:w="2378"/>
        <w:gridCol w:w="2378"/>
        <w:gridCol w:w="2382"/>
      </w:tblGrid>
      <w:tr w:rsidR="00335712"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Pr="001937F5" w:rsidRDefault="00AB3373">
            <w:pPr>
              <w:pStyle w:val="a3"/>
              <w:rPr>
                <w:b/>
              </w:rPr>
            </w:pPr>
            <w:r w:rsidRPr="001937F5">
              <w:rPr>
                <w:b/>
              </w:rPr>
              <w:t>Показатель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Pr="001937F5" w:rsidRDefault="00AB3373">
            <w:pPr>
              <w:pStyle w:val="a3"/>
              <w:rPr>
                <w:b/>
              </w:rPr>
            </w:pPr>
            <w:r w:rsidRPr="001937F5">
              <w:rPr>
                <w:b/>
              </w:rPr>
              <w:t>2015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Pr="001937F5" w:rsidRDefault="00AB3373">
            <w:pPr>
              <w:pStyle w:val="a3"/>
              <w:rPr>
                <w:b/>
              </w:rPr>
            </w:pPr>
            <w:r w:rsidRPr="001937F5">
              <w:rPr>
                <w:b/>
              </w:rPr>
              <w:t>2016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Pr="001937F5" w:rsidRDefault="00AB3373">
            <w:pPr>
              <w:pStyle w:val="a3"/>
              <w:rPr>
                <w:b/>
              </w:rPr>
            </w:pPr>
            <w:r w:rsidRPr="001937F5">
              <w:rPr>
                <w:b/>
              </w:rPr>
              <w:t>2017</w:t>
            </w:r>
          </w:p>
        </w:tc>
      </w:tr>
      <w:tr w:rsidR="00335712"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Пользователи</w:t>
            </w:r>
          </w:p>
          <w:p w:rsidR="00335712" w:rsidRDefault="00AB3373">
            <w:pPr>
              <w:pStyle w:val="a3"/>
            </w:pPr>
            <w:r>
              <w:lastRenderedPageBreak/>
              <w:t xml:space="preserve">(в </w:t>
            </w:r>
            <w:proofErr w:type="spellStart"/>
            <w:r>
              <w:t>т.ч</w:t>
            </w:r>
            <w:proofErr w:type="spellEnd"/>
            <w:r>
              <w:t>. в детских библиотеках)</w:t>
            </w:r>
            <w:r w:rsidR="001937F5">
              <w:t xml:space="preserve"> чел.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lastRenderedPageBreak/>
              <w:t>86 999</w:t>
            </w:r>
          </w:p>
          <w:p w:rsidR="00335712" w:rsidRDefault="00AB3373">
            <w:pPr>
              <w:pStyle w:val="a3"/>
            </w:pPr>
            <w:r>
              <w:lastRenderedPageBreak/>
              <w:t>(39 107)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lastRenderedPageBreak/>
              <w:t>87 752</w:t>
            </w:r>
          </w:p>
          <w:p w:rsidR="00335712" w:rsidRDefault="00AB3373">
            <w:pPr>
              <w:pStyle w:val="a3"/>
            </w:pPr>
            <w:r>
              <w:lastRenderedPageBreak/>
              <w:t>(39 912)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lastRenderedPageBreak/>
              <w:t>88 277</w:t>
            </w:r>
          </w:p>
          <w:p w:rsidR="00335712" w:rsidRDefault="00AB3373">
            <w:pPr>
              <w:pStyle w:val="a3"/>
            </w:pPr>
            <w:r>
              <w:lastRenderedPageBreak/>
              <w:t>(40 194)</w:t>
            </w:r>
          </w:p>
        </w:tc>
      </w:tr>
      <w:tr w:rsidR="00335712"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lastRenderedPageBreak/>
              <w:t>Посещения</w:t>
            </w:r>
          </w:p>
          <w:p w:rsidR="00335712" w:rsidRDefault="00AB3373">
            <w:pPr>
              <w:pStyle w:val="a3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в детских библиотеках)</w:t>
            </w:r>
            <w:r w:rsidR="001937F5">
              <w:t xml:space="preserve"> чел.</w:t>
            </w:r>
          </w:p>
          <w:p w:rsidR="00335712" w:rsidRDefault="00335712">
            <w:pPr>
              <w:pStyle w:val="a3"/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781 108</w:t>
            </w:r>
          </w:p>
          <w:p w:rsidR="00335712" w:rsidRDefault="00335712">
            <w:pPr>
              <w:pStyle w:val="a3"/>
            </w:pPr>
          </w:p>
          <w:p w:rsidR="00335712" w:rsidRDefault="00AB3373">
            <w:pPr>
              <w:pStyle w:val="a3"/>
            </w:pPr>
            <w:r>
              <w:t>(382 824)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784 977</w:t>
            </w:r>
          </w:p>
          <w:p w:rsidR="00335712" w:rsidRDefault="00335712">
            <w:pPr>
              <w:pStyle w:val="a3"/>
            </w:pPr>
          </w:p>
          <w:p w:rsidR="00335712" w:rsidRDefault="00AB3373">
            <w:pPr>
              <w:pStyle w:val="a3"/>
            </w:pPr>
            <w:r>
              <w:t>(386 472)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796 921</w:t>
            </w:r>
          </w:p>
          <w:p w:rsidR="00335712" w:rsidRDefault="00335712">
            <w:pPr>
              <w:pStyle w:val="a3"/>
            </w:pPr>
          </w:p>
          <w:p w:rsidR="00335712" w:rsidRDefault="00AB3373">
            <w:pPr>
              <w:pStyle w:val="a3"/>
            </w:pPr>
            <w:r>
              <w:t>(389 424)</w:t>
            </w:r>
          </w:p>
        </w:tc>
      </w:tr>
      <w:tr w:rsidR="00335712"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Выдача документов</w:t>
            </w:r>
          </w:p>
          <w:p w:rsidR="00335712" w:rsidRDefault="00AB3373">
            <w:pPr>
              <w:pStyle w:val="a3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в детских библиотеках)</w:t>
            </w:r>
            <w:r w:rsidR="001937F5">
              <w:t xml:space="preserve"> чел.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1 839 352</w:t>
            </w:r>
          </w:p>
          <w:p w:rsidR="00335712" w:rsidRDefault="00335712">
            <w:pPr>
              <w:pStyle w:val="a3"/>
            </w:pPr>
          </w:p>
          <w:p w:rsidR="00335712" w:rsidRDefault="00AB3373">
            <w:pPr>
              <w:pStyle w:val="a3"/>
            </w:pPr>
            <w:r>
              <w:t>(810 659)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1 843 869</w:t>
            </w:r>
          </w:p>
          <w:p w:rsidR="00335712" w:rsidRDefault="00335712">
            <w:pPr>
              <w:pStyle w:val="a3"/>
            </w:pPr>
          </w:p>
          <w:p w:rsidR="00335712" w:rsidRDefault="00AB3373">
            <w:pPr>
              <w:pStyle w:val="a3"/>
            </w:pPr>
            <w:r>
              <w:t>(802 941)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1 848 837</w:t>
            </w:r>
          </w:p>
          <w:p w:rsidR="00335712" w:rsidRDefault="00335712">
            <w:pPr>
              <w:pStyle w:val="a3"/>
            </w:pPr>
          </w:p>
          <w:p w:rsidR="00335712" w:rsidRDefault="00AB3373">
            <w:pPr>
              <w:pStyle w:val="a3"/>
            </w:pPr>
            <w:r>
              <w:t>(813 738)</w:t>
            </w:r>
          </w:p>
        </w:tc>
      </w:tr>
    </w:tbl>
    <w:p w:rsidR="00335712" w:rsidRDefault="00335712">
      <w:pPr>
        <w:pStyle w:val="a3"/>
        <w:jc w:val="both"/>
      </w:pP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Динамика к уровню 2016 года по основным показателям составила +5%, + 1,5%, + 2 %.</w:t>
      </w:r>
      <w:r>
        <w:t xml:space="preserve">  </w:t>
      </w:r>
    </w:p>
    <w:p w:rsidR="00335712" w:rsidRDefault="00AB3373">
      <w:pPr>
        <w:pStyle w:val="a3"/>
        <w:ind w:firstLine="708"/>
        <w:jc w:val="both"/>
      </w:pPr>
      <w:proofErr w:type="gramStart"/>
      <w:r>
        <w:rPr>
          <w:sz w:val="28"/>
          <w:szCs w:val="28"/>
        </w:rPr>
        <w:t xml:space="preserve">Рост контрольных показателей стал результатом целого ряда факторов, таких как создание комфортных условий для пользователей, эффективное продвижение и рост востребованности электронных информационных ресурсов и услуг, укрепление тенденции перехода от разовых мероприятий  к крупным культурно-просветительским акциям и проектам, дальнейшее развитие библиотек как центров социальной активности, продолжение активного освоения городских площадок для продвижения библиотечных услуг. </w:t>
      </w:r>
      <w:proofErr w:type="gramEnd"/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Одно из наиболее успешных событий года – реализация эколого-просветительского проекта ЦБС «Будем жить </w:t>
      </w:r>
      <w:proofErr w:type="spellStart"/>
      <w:r>
        <w:rPr>
          <w:sz w:val="28"/>
          <w:szCs w:val="28"/>
        </w:rPr>
        <w:t>ЭкоЛогично</w:t>
      </w:r>
      <w:proofErr w:type="spellEnd"/>
      <w:r>
        <w:rPr>
          <w:sz w:val="28"/>
          <w:szCs w:val="28"/>
        </w:rPr>
        <w:t xml:space="preserve">!», приуроченного к  Году экологии и Году особо охраняемых природных территорий в РФ. 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которого создан собственный  электронный  ресурс, размещенный  на портале ЦБС – виртуальная </w:t>
      </w:r>
      <w:proofErr w:type="spellStart"/>
      <w:r>
        <w:rPr>
          <w:sz w:val="28"/>
          <w:szCs w:val="28"/>
        </w:rPr>
        <w:t>геоэкологическая</w:t>
      </w:r>
      <w:proofErr w:type="spellEnd"/>
      <w:r>
        <w:rPr>
          <w:sz w:val="28"/>
          <w:szCs w:val="28"/>
        </w:rPr>
        <w:t xml:space="preserve">  карта  города «Зеленый Липецк», проведен  цикл из четырех телемостов «Заповедные места» с разными регионами страны и ближним зарубежьем: Крым, Алтай, Архангельск, Могилев (Беларусь). 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МУ  «ЦБС» города Липецка  признана лучшим учреждением культуры Липецкой области по экологическому просвещению населения и проведению Дней защиты от экологической опасности в Липецкой области, отмечена по итогам  IX Международного смотра-конкурса городских практик стран СНГ и Евразийского экономического союза «Город, где хочется жить»,  за проект «Ш.К.А.Ф.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Дворянской».  </w:t>
      </w: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 xml:space="preserve">В 2017 году реализован партнерский спортивно-просветительский проект  «Библиотечный стадион: Футбол», реализуемый совместно с футбольным клубом «Металлург» в преддверии Чемпионата мира по футболу в России в рамках приоритетного регионального проекта «Здоровый регион», начата  реорганизации пространства в ЦГБ им. </w:t>
      </w:r>
      <w:proofErr w:type="spellStart"/>
      <w:r>
        <w:rPr>
          <w:sz w:val="28"/>
          <w:szCs w:val="28"/>
        </w:rPr>
        <w:t>С.Есенина</w:t>
      </w:r>
      <w:proofErr w:type="spellEnd"/>
      <w:r>
        <w:rPr>
          <w:sz w:val="28"/>
          <w:szCs w:val="28"/>
        </w:rPr>
        <w:t xml:space="preserve"> с целью  приведения внутреннего пространства библиотеки в соответствие с современными потребностями пользователей - создание условий для </w:t>
      </w:r>
      <w:proofErr w:type="spellStart"/>
      <w:r>
        <w:rPr>
          <w:sz w:val="28"/>
          <w:szCs w:val="28"/>
        </w:rPr>
        <w:t>безбарьерного</w:t>
      </w:r>
      <w:proofErr w:type="spellEnd"/>
      <w:r>
        <w:rPr>
          <w:sz w:val="28"/>
          <w:szCs w:val="28"/>
        </w:rPr>
        <w:t xml:space="preserve"> общения читателя и библиотекаря.</w:t>
      </w:r>
    </w:p>
    <w:p w:rsidR="00335712" w:rsidRDefault="00335712">
      <w:pPr>
        <w:pStyle w:val="a3"/>
        <w:ind w:firstLine="708"/>
        <w:jc w:val="both"/>
      </w:pPr>
    </w:p>
    <w:p w:rsidR="00853B7E" w:rsidRDefault="00853B7E">
      <w:pPr>
        <w:pStyle w:val="a3"/>
        <w:ind w:firstLine="708"/>
        <w:jc w:val="both"/>
      </w:pPr>
    </w:p>
    <w:p w:rsidR="00853B7E" w:rsidRDefault="00853B7E">
      <w:pPr>
        <w:pStyle w:val="a3"/>
        <w:ind w:firstLine="708"/>
        <w:jc w:val="both"/>
      </w:pPr>
    </w:p>
    <w:p w:rsidR="00853B7E" w:rsidRDefault="00853B7E">
      <w:pPr>
        <w:pStyle w:val="a3"/>
        <w:ind w:firstLine="708"/>
        <w:jc w:val="both"/>
      </w:pPr>
    </w:p>
    <w:p w:rsidR="00335712" w:rsidRPr="00D337BB" w:rsidRDefault="00AB3373">
      <w:pPr>
        <w:pStyle w:val="a3"/>
        <w:jc w:val="center"/>
      </w:pPr>
      <w:r w:rsidRPr="00D337BB">
        <w:rPr>
          <w:sz w:val="28"/>
          <w:szCs w:val="28"/>
        </w:rPr>
        <w:lastRenderedPageBreak/>
        <w:t>5. Сохранение и изучение местного традиционного народного художественного творчества</w:t>
      </w:r>
    </w:p>
    <w:p w:rsidR="00335712" w:rsidRDefault="00335712">
      <w:pPr>
        <w:pStyle w:val="a3"/>
        <w:jc w:val="center"/>
      </w:pPr>
    </w:p>
    <w:p w:rsidR="00335712" w:rsidRPr="001937F5" w:rsidRDefault="00AB33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Работа Липецкого музея народного и декоративно-прикладного искусства направлена на  создание условий для развития местного традиционного народного художественного творчества, участие в сохранении возрождении и развитии народных художественных промыслов в городе Липецке.</w:t>
      </w:r>
    </w:p>
    <w:p w:rsidR="00D337BB" w:rsidRPr="001937F5" w:rsidRDefault="00D337BB">
      <w:pPr>
        <w:pStyle w:val="a3"/>
        <w:jc w:val="both"/>
      </w:pPr>
    </w:p>
    <w:p w:rsidR="00335712" w:rsidRDefault="00AB3373">
      <w:pPr>
        <w:pStyle w:val="a3"/>
        <w:ind w:firstLine="708"/>
        <w:jc w:val="center"/>
      </w:pPr>
      <w:r>
        <w:rPr>
          <w:b/>
          <w:sz w:val="28"/>
          <w:szCs w:val="28"/>
        </w:rPr>
        <w:t>Объем финансирования музея</w:t>
      </w:r>
    </w:p>
    <w:p w:rsidR="00335712" w:rsidRDefault="00335712">
      <w:pPr>
        <w:pStyle w:val="a3"/>
        <w:ind w:firstLine="708"/>
        <w:jc w:val="center"/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484"/>
        <w:gridCol w:w="2361"/>
        <w:gridCol w:w="2362"/>
        <w:gridCol w:w="2361"/>
      </w:tblGrid>
      <w:tr w:rsidR="00335712"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Показатель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 xml:space="preserve">2015 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 xml:space="preserve">2016 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 xml:space="preserve">2017  </w:t>
            </w:r>
          </w:p>
        </w:tc>
      </w:tr>
      <w:tr w:rsidR="00335712"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1937F5">
            <w:pPr>
              <w:pStyle w:val="a3"/>
              <w:jc w:val="both"/>
            </w:pPr>
            <w:r>
              <w:t>Объем бюджетного финансирования</w:t>
            </w:r>
            <w:r w:rsidR="00AB3373">
              <w:t xml:space="preserve"> </w:t>
            </w:r>
            <w:r>
              <w:t>(</w:t>
            </w:r>
            <w:r w:rsidR="00AB3373">
              <w:t>млн. руб.</w:t>
            </w:r>
            <w:r>
              <w:t>)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7,3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7,9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both"/>
            </w:pPr>
            <w:r>
              <w:t>8,7</w:t>
            </w:r>
          </w:p>
        </w:tc>
      </w:tr>
    </w:tbl>
    <w:p w:rsidR="00335712" w:rsidRDefault="00335712">
      <w:pPr>
        <w:pStyle w:val="a3"/>
        <w:jc w:val="center"/>
      </w:pPr>
    </w:p>
    <w:p w:rsidR="00335712" w:rsidRDefault="00AB3373">
      <w:pPr>
        <w:pStyle w:val="a3"/>
        <w:jc w:val="center"/>
      </w:pPr>
      <w:r>
        <w:rPr>
          <w:b/>
          <w:bCs/>
          <w:sz w:val="28"/>
          <w:szCs w:val="28"/>
          <w:lang w:eastAsia="ru-RU"/>
        </w:rPr>
        <w:t>Привлечение внебюджетных средств</w:t>
      </w:r>
    </w:p>
    <w:p w:rsidR="00335712" w:rsidRDefault="00335712">
      <w:pPr>
        <w:pStyle w:val="a3"/>
        <w:jc w:val="center"/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980"/>
        <w:gridCol w:w="1880"/>
        <w:gridCol w:w="1883"/>
        <w:gridCol w:w="1887"/>
        <w:gridCol w:w="1941"/>
      </w:tblGrid>
      <w:tr w:rsidR="00335712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t>Показатель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2015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2016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2017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Динамика роста к 2016</w:t>
            </w:r>
          </w:p>
        </w:tc>
      </w:tr>
      <w:tr w:rsidR="00335712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1937F5">
            <w:pPr>
              <w:pStyle w:val="a3"/>
              <w:jc w:val="center"/>
            </w:pPr>
            <w:r>
              <w:rPr>
                <w:bCs/>
                <w:lang w:eastAsia="ru-RU"/>
              </w:rPr>
              <w:t>Привлечение</w:t>
            </w:r>
            <w:r w:rsidR="00AB3373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(</w:t>
            </w:r>
            <w:r w:rsidR="00AB3373">
              <w:rPr>
                <w:bCs/>
                <w:lang w:eastAsia="ru-RU"/>
              </w:rPr>
              <w:t>тыс. руб.</w:t>
            </w:r>
            <w:r>
              <w:rPr>
                <w:bCs/>
                <w:lang w:eastAsia="ru-RU"/>
              </w:rPr>
              <w:t>)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872,3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903,3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951,8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  <w:jc w:val="center"/>
            </w:pPr>
            <w:r>
              <w:rPr>
                <w:bCs/>
                <w:lang w:eastAsia="ru-RU"/>
              </w:rPr>
              <w:t>+16%</w:t>
            </w:r>
          </w:p>
        </w:tc>
      </w:tr>
    </w:tbl>
    <w:p w:rsidR="00335712" w:rsidRDefault="00335712">
      <w:pPr>
        <w:pStyle w:val="a3"/>
        <w:jc w:val="both"/>
      </w:pPr>
    </w:p>
    <w:p w:rsidR="00335712" w:rsidRDefault="00335712">
      <w:pPr>
        <w:pStyle w:val="a3"/>
        <w:jc w:val="center"/>
      </w:pPr>
    </w:p>
    <w:p w:rsidR="00335712" w:rsidRPr="00AB3373" w:rsidRDefault="00AB3373">
      <w:pPr>
        <w:pStyle w:val="a3"/>
        <w:jc w:val="center"/>
        <w:rPr>
          <w:b/>
        </w:rPr>
      </w:pPr>
      <w:r w:rsidRPr="00AB3373">
        <w:rPr>
          <w:b/>
          <w:sz w:val="28"/>
          <w:szCs w:val="28"/>
        </w:rPr>
        <w:t>Динамика показателей деятельности учреждения</w:t>
      </w:r>
    </w:p>
    <w:p w:rsidR="00335712" w:rsidRDefault="00335712">
      <w:pPr>
        <w:pStyle w:val="a3"/>
        <w:jc w:val="center"/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470"/>
        <w:gridCol w:w="2341"/>
        <w:gridCol w:w="2414"/>
        <w:gridCol w:w="2340"/>
      </w:tblGrid>
      <w:tr w:rsidR="00335712"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Показатель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2015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ab/>
              <w:t>2016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2017</w:t>
            </w:r>
          </w:p>
        </w:tc>
      </w:tr>
      <w:tr w:rsidR="00335712"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Количество посетителей (чел.)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19 360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20 782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22 178</w:t>
            </w:r>
          </w:p>
        </w:tc>
      </w:tr>
      <w:tr w:rsidR="00335712"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Количество выставок</w:t>
            </w:r>
            <w:r w:rsidR="001937F5">
              <w:t xml:space="preserve"> (ед.)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16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17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19</w:t>
            </w:r>
          </w:p>
        </w:tc>
      </w:tr>
      <w:tr w:rsidR="00335712"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Доля опубликованных музейных предметов  от общего фонда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21%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21%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21%</w:t>
            </w:r>
          </w:p>
        </w:tc>
      </w:tr>
      <w:tr w:rsidR="00335712"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Количество музейных мероприятий</w:t>
            </w:r>
            <w:r w:rsidR="001937F5">
              <w:t xml:space="preserve"> (ед.)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251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268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35712" w:rsidRDefault="00AB3373">
            <w:pPr>
              <w:pStyle w:val="a3"/>
            </w:pPr>
            <w:r>
              <w:t>277</w:t>
            </w:r>
          </w:p>
        </w:tc>
      </w:tr>
    </w:tbl>
    <w:p w:rsidR="00335712" w:rsidRDefault="00335712">
      <w:pPr>
        <w:pStyle w:val="a3"/>
      </w:pPr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Рост общего количества  посетителей на  6,7 %  связан  с увеличением экспозиционных площадей. Экспозиционно-выставочная деятельность музея осуществлялась в трех зданиях. В основном здании музея на ул. Космонавтов, 2 работали постоянные экспозиции музея: «Народное искусство Липецкого края», «Привет из Липецка 20 века» и были организованы 15 временных выставок.</w:t>
      </w:r>
    </w:p>
    <w:p w:rsidR="00335712" w:rsidRDefault="00AB3373">
      <w:pPr>
        <w:pStyle w:val="a3"/>
        <w:jc w:val="both"/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В филиале музея расположенном по улице Октябрьской, 57 в 2017 году работали 5 выставок «Гостиная старого дома», «Комната отдыхающего на Липецком курорте», «Петровские забавы»,  «Закрома» и «Авиационный Липецк».  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В 2017 году Липецкий музей народного и декоративно-прикладного искусства в рамках межмуниципального и межрегионального сотрудничества организовал две выездных выставки. В </w:t>
      </w:r>
      <w:proofErr w:type="spellStart"/>
      <w:r>
        <w:rPr>
          <w:sz w:val="28"/>
          <w:szCs w:val="28"/>
        </w:rPr>
        <w:t>Данковском</w:t>
      </w:r>
      <w:proofErr w:type="spellEnd"/>
      <w:r>
        <w:rPr>
          <w:sz w:val="28"/>
          <w:szCs w:val="28"/>
        </w:rPr>
        <w:t xml:space="preserve"> краеведческом музее была представлена выставка «</w:t>
      </w:r>
      <w:proofErr w:type="spellStart"/>
      <w:r>
        <w:rPr>
          <w:sz w:val="28"/>
          <w:szCs w:val="28"/>
        </w:rPr>
        <w:t>Мураевенская</w:t>
      </w:r>
      <w:proofErr w:type="spellEnd"/>
      <w:r>
        <w:rPr>
          <w:sz w:val="28"/>
          <w:szCs w:val="28"/>
        </w:rPr>
        <w:t xml:space="preserve"> вышивка» и в Государственном археологическом музее-заповеднике "</w:t>
      </w:r>
      <w:proofErr w:type="spellStart"/>
      <w:r>
        <w:rPr>
          <w:sz w:val="28"/>
          <w:szCs w:val="28"/>
        </w:rPr>
        <w:t>Костенки</w:t>
      </w:r>
      <w:proofErr w:type="spellEnd"/>
      <w:r>
        <w:rPr>
          <w:sz w:val="28"/>
          <w:szCs w:val="28"/>
        </w:rPr>
        <w:t>" была организована выставка "Куклы в южнорусском костюме". Выездные выставки посетило – 8495 человек.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За отчетный период в электронную базу данных информационной музейной системы (КАМИС) было внесено 500 ед. Общее количество внесенных предметов составляет 2575 ед.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 2017 году музей выступил площадкой для семинара «От нити до холста», организованного этнографическим клубом «</w:t>
      </w:r>
      <w:proofErr w:type="spellStart"/>
      <w:r>
        <w:rPr>
          <w:sz w:val="28"/>
          <w:szCs w:val="28"/>
        </w:rPr>
        <w:t>Параскева</w:t>
      </w:r>
      <w:proofErr w:type="spellEnd"/>
      <w:r>
        <w:rPr>
          <w:sz w:val="28"/>
          <w:szCs w:val="28"/>
        </w:rPr>
        <w:t>» (г. Санкт-Петербург), а также являлся партнером во 2-м в Международном форуме «Арт-путь», посвященному применению уникальной художественной терапии и педагогики при работе с детьми, в том числе и с ограниченными возможностями здоровья. Музей поделился опытом интерактивных занятий с детьми по теме женского традиционного костюма Липецкой области.</w:t>
      </w:r>
    </w:p>
    <w:p w:rsidR="00335712" w:rsidRDefault="00335712" w:rsidP="00AB3373">
      <w:pPr>
        <w:pStyle w:val="a3"/>
        <w:jc w:val="both"/>
      </w:pPr>
    </w:p>
    <w:p w:rsidR="00853B7E" w:rsidRDefault="00853B7E" w:rsidP="00AB3373">
      <w:pPr>
        <w:pStyle w:val="a3"/>
        <w:jc w:val="both"/>
      </w:pPr>
    </w:p>
    <w:p w:rsidR="00335712" w:rsidRPr="00D337BB" w:rsidRDefault="00AB3373">
      <w:pPr>
        <w:pStyle w:val="a3"/>
        <w:ind w:firstLine="708"/>
        <w:jc w:val="center"/>
      </w:pPr>
      <w:r w:rsidRPr="00D337BB">
        <w:rPr>
          <w:bCs/>
          <w:sz w:val="28"/>
          <w:szCs w:val="28"/>
        </w:rPr>
        <w:t>6. Работа по созданию туристического имиджа города</w:t>
      </w:r>
    </w:p>
    <w:p w:rsidR="00335712" w:rsidRDefault="00335712">
      <w:pPr>
        <w:pStyle w:val="a3"/>
        <w:ind w:firstLine="708"/>
        <w:jc w:val="center"/>
      </w:pPr>
    </w:p>
    <w:p w:rsidR="00853B7E" w:rsidRDefault="00853B7E">
      <w:pPr>
        <w:pStyle w:val="a3"/>
        <w:ind w:firstLine="708"/>
        <w:jc w:val="center"/>
      </w:pP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  В июле 2017 года был сформирован отдел туризма. В результате его работы в течение полугода: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>- создана нормативно-правовая база работы отдела;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>- составлена актуальная база данных коллективных средств размещения, турагентств, мест общественного питания города Липецка, на основании которой внесены поправки в информацию о городе в унифицированном туристском паспорте Липецкой области;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>- систематизирована информация об объеме турпотока, о количестве посетителей туристических объектов, количестве туристических маршрутов в городе Липецке;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>- налажена работа по сбору информации, необходимой для составления ежемесячных отчетов в сфере туризма для предоставления в управление культуры и туризма Липецкой области и Федеральное агентства по туризму;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- разработан макет и изготовлен </w:t>
      </w:r>
      <w:proofErr w:type="spellStart"/>
      <w:r>
        <w:rPr>
          <w:sz w:val="28"/>
          <w:szCs w:val="28"/>
        </w:rPr>
        <w:t>брендированный</w:t>
      </w:r>
      <w:proofErr w:type="spellEnd"/>
      <w:r>
        <w:rPr>
          <w:sz w:val="28"/>
          <w:szCs w:val="28"/>
        </w:rPr>
        <w:t xml:space="preserve"> световой стенд и стол для участия в туристических выставках и презентациях города Липецка;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- собраны материалы для презентации инвестиционного проекта «Создание туристско-рекреационного  кластера «Липецкие курорты» управлением культуры и туризма на координационном совете, организованным Федеральным агентством по туризму;  </w:t>
      </w:r>
    </w:p>
    <w:p w:rsidR="00335712" w:rsidRDefault="00AB3373">
      <w:pPr>
        <w:pStyle w:val="a3"/>
        <w:ind w:firstLine="708"/>
        <w:jc w:val="both"/>
      </w:pPr>
      <w:r>
        <w:rPr>
          <w:rFonts w:eastAsia="Calibri"/>
          <w:sz w:val="28"/>
          <w:szCs w:val="28"/>
        </w:rPr>
        <w:t xml:space="preserve">Отделом туризма в 2017 году организовано 2 событийных мероприятия - гастрономический фестиваль «Тыквенная каша» и проводимый впервые </w:t>
      </w:r>
      <w:r>
        <w:rPr>
          <w:sz w:val="28"/>
          <w:szCs w:val="28"/>
        </w:rPr>
        <w:t>фестиваль «Петровские забавы или Новогодний фейерверк по-Липецки», который собрал более 5 000 жителей и гостей города;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lastRenderedPageBreak/>
        <w:t>- В рамках дня города был открыт цикл экскурсий, показавший большой интерес к следующим маршрутам: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    - маршрут «Липецк крылатый»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    - маршрут «Липецк город металлургов»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Музейные экспозиции были включены в программу информационных туров для федеральных туроператоров и </w:t>
      </w:r>
      <w:proofErr w:type="spellStart"/>
      <w:r>
        <w:rPr>
          <w:sz w:val="28"/>
          <w:szCs w:val="28"/>
        </w:rPr>
        <w:t>блогеров</w:t>
      </w:r>
      <w:proofErr w:type="spellEnd"/>
      <w:r>
        <w:rPr>
          <w:sz w:val="28"/>
          <w:szCs w:val="28"/>
        </w:rPr>
        <w:t xml:space="preserve">, для представителей туроператоров и прессы Италии и России, участников Национальной премии в области событийного туризма </w:t>
      </w:r>
      <w:proofErr w:type="spellStart"/>
      <w:r>
        <w:rPr>
          <w:sz w:val="28"/>
          <w:szCs w:val="28"/>
        </w:rPr>
        <w:t>Russian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Awards</w:t>
      </w:r>
      <w:proofErr w:type="spellEnd"/>
      <w:r>
        <w:rPr>
          <w:sz w:val="28"/>
          <w:szCs w:val="28"/>
        </w:rPr>
        <w:t xml:space="preserve">, для российских </w:t>
      </w:r>
      <w:proofErr w:type="spellStart"/>
      <w:r>
        <w:rPr>
          <w:sz w:val="28"/>
          <w:szCs w:val="28"/>
        </w:rPr>
        <w:t>блогеров</w:t>
      </w:r>
      <w:proofErr w:type="spellEnd"/>
      <w:r>
        <w:rPr>
          <w:sz w:val="28"/>
          <w:szCs w:val="28"/>
        </w:rPr>
        <w:t xml:space="preserve"> в рамках тура по «Серебряному ожерелью России» (Тамбов-Воронеж-Липецк). </w:t>
      </w:r>
      <w:proofErr w:type="gramEnd"/>
    </w:p>
    <w:p w:rsidR="00335712" w:rsidRDefault="00AB3373">
      <w:pPr>
        <w:pStyle w:val="a3"/>
        <w:ind w:firstLine="708"/>
        <w:jc w:val="both"/>
      </w:pPr>
      <w:r>
        <w:rPr>
          <w:sz w:val="28"/>
          <w:szCs w:val="28"/>
        </w:rPr>
        <w:t>Музей принял участие в областной премии в области туризма «Путеводная звезда» и занял 2 место в номинации «Лучший музей».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    В данный момент ведется подготовка к вступлению в ФЦП «Развитие внутреннего и въездного туризма на 2019-2025 гг.», участие 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позволит привлечь средства в размере 5 млрд. руб. где: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    - 3,5 млрд. руб. -  внебюджетные инвестиции;</w:t>
      </w:r>
    </w:p>
    <w:p w:rsidR="00335712" w:rsidRDefault="00AB3373">
      <w:pPr>
        <w:pStyle w:val="a3"/>
        <w:jc w:val="both"/>
      </w:pPr>
      <w:r>
        <w:rPr>
          <w:sz w:val="28"/>
          <w:szCs w:val="28"/>
        </w:rPr>
        <w:t xml:space="preserve">       - 900 млн. руб.  – федеральный бюджет;</w:t>
      </w:r>
    </w:p>
    <w:p w:rsidR="00335712" w:rsidRDefault="00AB3373">
      <w:pPr>
        <w:pStyle w:val="a3"/>
        <w:jc w:val="both"/>
      </w:pPr>
      <w:r>
        <w:rPr>
          <w:rFonts w:eastAsia="Calibri"/>
          <w:sz w:val="28"/>
          <w:szCs w:val="28"/>
        </w:rPr>
        <w:t xml:space="preserve">       - 600 млн. руб. – бюджет субъекта РФ и местный бюджет.</w:t>
      </w:r>
    </w:p>
    <w:p w:rsidR="00335712" w:rsidRDefault="00335712">
      <w:pPr>
        <w:pStyle w:val="a3"/>
        <w:ind w:firstLine="708"/>
        <w:jc w:val="both"/>
      </w:pPr>
    </w:p>
    <w:p w:rsidR="00853B7E" w:rsidRDefault="00853B7E">
      <w:pPr>
        <w:pStyle w:val="a3"/>
        <w:ind w:firstLine="708"/>
        <w:jc w:val="both"/>
      </w:pPr>
    </w:p>
    <w:p w:rsidR="00335712" w:rsidRPr="00D337BB" w:rsidRDefault="00D337BB">
      <w:pPr>
        <w:pStyle w:val="a3"/>
        <w:jc w:val="center"/>
      </w:pPr>
      <w:r w:rsidRPr="00D337BB">
        <w:rPr>
          <w:sz w:val="28"/>
          <w:szCs w:val="28"/>
        </w:rPr>
        <w:t>7</w:t>
      </w:r>
      <w:r w:rsidR="00AB3373" w:rsidRPr="00D337BB">
        <w:rPr>
          <w:sz w:val="28"/>
          <w:szCs w:val="28"/>
        </w:rPr>
        <w:t>. Укрепление материально-технической базы учреждений культуры</w:t>
      </w:r>
    </w:p>
    <w:p w:rsidR="00335712" w:rsidRDefault="00335712">
      <w:pPr>
        <w:pStyle w:val="a3"/>
        <w:jc w:val="center"/>
      </w:pPr>
    </w:p>
    <w:p w:rsidR="00853B7E" w:rsidRDefault="00853B7E">
      <w:pPr>
        <w:pStyle w:val="a3"/>
        <w:jc w:val="center"/>
      </w:pPr>
    </w:p>
    <w:p w:rsidR="001937F5" w:rsidRPr="00696EEB" w:rsidRDefault="00AB3373" w:rsidP="001937F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937F5" w:rsidRPr="00696EEB">
        <w:rPr>
          <w:rFonts w:ascii="Times New Roman" w:hAnsi="Times New Roman" w:cs="Times New Roman"/>
          <w:sz w:val="28"/>
          <w:szCs w:val="28"/>
        </w:rPr>
        <w:t xml:space="preserve">В 2017 году  на укрепление материально-технической базы учреждений направлено за счет городского бюджета - 3950,0 тыс. руб., за счет областного бюджета – 175,0  </w:t>
      </w:r>
      <w:proofErr w:type="spellStart"/>
      <w:proofErr w:type="gramStart"/>
      <w:r w:rsidR="001937F5" w:rsidRPr="00696EE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1937F5" w:rsidRPr="00696EEB">
        <w:rPr>
          <w:rFonts w:ascii="Times New Roman" w:hAnsi="Times New Roman" w:cs="Times New Roman"/>
          <w:sz w:val="28"/>
          <w:szCs w:val="28"/>
        </w:rPr>
        <w:t xml:space="preserve"> руб., за счет федерального – 227 тыс. руб. Данные средства были направлены на пополнение книжного фонда библиотек города, приобретение музыкальных инструментов и оборудования</w:t>
      </w:r>
    </w:p>
    <w:p w:rsidR="001937F5" w:rsidRPr="00696EEB" w:rsidRDefault="001937F5" w:rsidP="001937F5">
      <w:pPr>
        <w:rPr>
          <w:rFonts w:ascii="Times New Roman" w:hAnsi="Times New Roman" w:cs="Times New Roman"/>
          <w:sz w:val="28"/>
          <w:szCs w:val="28"/>
        </w:rPr>
      </w:pPr>
      <w:r w:rsidRPr="00696EEB">
        <w:rPr>
          <w:rFonts w:ascii="Times New Roman" w:hAnsi="Times New Roman" w:cs="Times New Roman"/>
          <w:sz w:val="28"/>
          <w:szCs w:val="28"/>
        </w:rPr>
        <w:t xml:space="preserve">На проведение капитальных ремонтов в подведомственных учреждениях всего было направлено 26,6 </w:t>
      </w:r>
      <w:proofErr w:type="gramStart"/>
      <w:r w:rsidRPr="00696EE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96EEB">
        <w:rPr>
          <w:rFonts w:ascii="Times New Roman" w:hAnsi="Times New Roman" w:cs="Times New Roman"/>
          <w:sz w:val="28"/>
          <w:szCs w:val="28"/>
        </w:rPr>
        <w:t xml:space="preserve"> рублей. Особо крупные работы были проведены в след</w:t>
      </w:r>
      <w:proofErr w:type="gramStart"/>
      <w:r w:rsidRPr="00696E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6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E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96EEB">
        <w:rPr>
          <w:rFonts w:ascii="Times New Roman" w:hAnsi="Times New Roman" w:cs="Times New Roman"/>
          <w:sz w:val="28"/>
          <w:szCs w:val="28"/>
        </w:rPr>
        <w:t>чреждениях:</w:t>
      </w:r>
    </w:p>
    <w:p w:rsidR="001937F5" w:rsidRPr="00696EEB" w:rsidRDefault="001937F5" w:rsidP="001937F5">
      <w:pPr>
        <w:pStyle w:val="ab"/>
        <w:numPr>
          <w:ilvl w:val="0"/>
          <w:numId w:val="4"/>
        </w:numPr>
        <w:suppressAutoHyphens w:val="0"/>
        <w:spacing w:line="276" w:lineRule="auto"/>
        <w:rPr>
          <w:rFonts w:eastAsia="Calibri"/>
          <w:sz w:val="28"/>
          <w:szCs w:val="28"/>
        </w:rPr>
      </w:pPr>
      <w:r w:rsidRPr="00696EEB">
        <w:rPr>
          <w:sz w:val="28"/>
          <w:szCs w:val="28"/>
        </w:rPr>
        <w:t xml:space="preserve">МАУК «ГДК» - ремонт фасада, электротехнического оборудования и работы по благоустройству территории (8550,0 тыс. </w:t>
      </w:r>
      <w:proofErr w:type="spellStart"/>
      <w:r w:rsidRPr="00696EEB">
        <w:rPr>
          <w:sz w:val="28"/>
          <w:szCs w:val="28"/>
        </w:rPr>
        <w:t>руб</w:t>
      </w:r>
      <w:proofErr w:type="spellEnd"/>
      <w:r w:rsidRPr="00696EEB">
        <w:rPr>
          <w:sz w:val="28"/>
          <w:szCs w:val="28"/>
        </w:rPr>
        <w:t>)</w:t>
      </w:r>
    </w:p>
    <w:p w:rsidR="001937F5" w:rsidRPr="00696EEB" w:rsidRDefault="001937F5" w:rsidP="001937F5">
      <w:pPr>
        <w:pStyle w:val="ab"/>
        <w:numPr>
          <w:ilvl w:val="0"/>
          <w:numId w:val="4"/>
        </w:numPr>
        <w:suppressAutoHyphens w:val="0"/>
        <w:spacing w:line="276" w:lineRule="auto"/>
        <w:rPr>
          <w:sz w:val="28"/>
          <w:szCs w:val="28"/>
        </w:rPr>
      </w:pPr>
      <w:r w:rsidRPr="00696EEB">
        <w:rPr>
          <w:sz w:val="28"/>
          <w:szCs w:val="28"/>
        </w:rPr>
        <w:t xml:space="preserve">МУ  «ЛДМ» - </w:t>
      </w:r>
      <w:r w:rsidRPr="00696EEB">
        <w:rPr>
          <w:rFonts w:eastAsia="Calibri"/>
          <w:sz w:val="28"/>
          <w:szCs w:val="28"/>
        </w:rPr>
        <w:t xml:space="preserve">ремонт сцены, благоустройство здания, устройство </w:t>
      </w:r>
      <w:r>
        <w:rPr>
          <w:rFonts w:eastAsia="Calibri"/>
          <w:sz w:val="28"/>
          <w:szCs w:val="28"/>
        </w:rPr>
        <w:t>противопожарных систем</w:t>
      </w:r>
      <w:r w:rsidRPr="00696EEB">
        <w:rPr>
          <w:rFonts w:eastAsia="Calibri"/>
          <w:sz w:val="28"/>
          <w:szCs w:val="28"/>
        </w:rPr>
        <w:t xml:space="preserve"> (4205,5 тыс. руб.)</w:t>
      </w:r>
    </w:p>
    <w:p w:rsidR="001937F5" w:rsidRPr="00696EEB" w:rsidRDefault="001937F5" w:rsidP="001937F5">
      <w:pPr>
        <w:pStyle w:val="ab"/>
        <w:numPr>
          <w:ilvl w:val="0"/>
          <w:numId w:val="4"/>
        </w:numPr>
        <w:suppressAutoHyphens w:val="0"/>
        <w:spacing w:line="276" w:lineRule="auto"/>
        <w:rPr>
          <w:sz w:val="28"/>
          <w:szCs w:val="28"/>
        </w:rPr>
      </w:pPr>
      <w:r w:rsidRPr="00696EEB">
        <w:rPr>
          <w:rFonts w:eastAsia="Calibri"/>
          <w:sz w:val="28"/>
          <w:szCs w:val="28"/>
        </w:rPr>
        <w:t xml:space="preserve">МАУК «Нижний парк» - </w:t>
      </w:r>
      <w:r w:rsidRPr="00696EEB">
        <w:rPr>
          <w:sz w:val="28"/>
          <w:szCs w:val="28"/>
        </w:rPr>
        <w:t>вырез самосева, вырубка сухостоя (4948,0 тыс. руб.)</w:t>
      </w:r>
    </w:p>
    <w:p w:rsidR="001937F5" w:rsidRPr="00696EEB" w:rsidRDefault="001937F5" w:rsidP="001937F5">
      <w:pPr>
        <w:pStyle w:val="ab"/>
        <w:numPr>
          <w:ilvl w:val="0"/>
          <w:numId w:val="4"/>
        </w:numPr>
        <w:suppressAutoHyphens w:val="0"/>
        <w:spacing w:line="276" w:lineRule="auto"/>
        <w:rPr>
          <w:sz w:val="28"/>
          <w:szCs w:val="28"/>
        </w:rPr>
      </w:pPr>
      <w:r w:rsidRPr="00696EEB">
        <w:rPr>
          <w:rFonts w:eastAsia="Calibri"/>
          <w:sz w:val="28"/>
          <w:szCs w:val="28"/>
        </w:rPr>
        <w:t xml:space="preserve">МУ ДК «Сокол» - </w:t>
      </w:r>
      <w:r>
        <w:rPr>
          <w:rFonts w:eastAsia="Calibri"/>
          <w:sz w:val="28"/>
          <w:szCs w:val="28"/>
        </w:rPr>
        <w:t>ус</w:t>
      </w:r>
      <w:r w:rsidRPr="00696EEB">
        <w:rPr>
          <w:rFonts w:eastAsia="Calibri"/>
          <w:sz w:val="28"/>
          <w:szCs w:val="28"/>
        </w:rPr>
        <w:t xml:space="preserve">тройство </w:t>
      </w:r>
      <w:proofErr w:type="spellStart"/>
      <w:r w:rsidRPr="00696EEB">
        <w:rPr>
          <w:rFonts w:eastAsia="Calibri"/>
          <w:sz w:val="28"/>
          <w:szCs w:val="28"/>
        </w:rPr>
        <w:t>дренчерной</w:t>
      </w:r>
      <w:proofErr w:type="spellEnd"/>
      <w:r w:rsidRPr="00696EEB">
        <w:rPr>
          <w:rFonts w:eastAsia="Calibri"/>
          <w:sz w:val="28"/>
          <w:szCs w:val="28"/>
        </w:rPr>
        <w:t xml:space="preserve"> системы водяного пожаротушения (2630,0, тыс. руб.)</w:t>
      </w:r>
    </w:p>
    <w:p w:rsidR="001937F5" w:rsidRDefault="001937F5" w:rsidP="001937F5">
      <w:pPr>
        <w:pStyle w:val="ab"/>
        <w:numPr>
          <w:ilvl w:val="0"/>
          <w:numId w:val="4"/>
        </w:numPr>
        <w:suppressAutoHyphens w:val="0"/>
        <w:spacing w:line="276" w:lineRule="auto"/>
        <w:rPr>
          <w:sz w:val="28"/>
          <w:szCs w:val="28"/>
        </w:rPr>
      </w:pPr>
      <w:r w:rsidRPr="00696EEB">
        <w:rPr>
          <w:sz w:val="28"/>
          <w:szCs w:val="28"/>
        </w:rPr>
        <w:t>МБУ ДО ДШИ №2 - Капитальный ремонт внутренних помещений (1150,0 тыс. руб.)</w:t>
      </w:r>
    </w:p>
    <w:p w:rsidR="001937F5" w:rsidRPr="000F4F7D" w:rsidRDefault="001937F5" w:rsidP="00193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 прошлыми периодами, финансирование на проведение капитальных ремонтов за счет средств городского бюджета было увеличено:</w:t>
      </w:r>
    </w:p>
    <w:p w:rsidR="001937F5" w:rsidRPr="000F4F7D" w:rsidRDefault="001937F5" w:rsidP="001937F5">
      <w:pPr>
        <w:pStyle w:val="a3"/>
        <w:jc w:val="both"/>
        <w:rPr>
          <w:sz w:val="28"/>
          <w:szCs w:val="28"/>
        </w:rPr>
      </w:pPr>
    </w:p>
    <w:p w:rsidR="001937F5" w:rsidRPr="001937F5" w:rsidRDefault="001937F5" w:rsidP="001937F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млн.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37F5" w:rsidTr="001937F5">
        <w:tc>
          <w:tcPr>
            <w:tcW w:w="3190" w:type="dxa"/>
          </w:tcPr>
          <w:p w:rsidR="001937F5" w:rsidRPr="001937F5" w:rsidRDefault="001937F5" w:rsidP="001937F5">
            <w:pPr>
              <w:pStyle w:val="a3"/>
              <w:jc w:val="center"/>
              <w:rPr>
                <w:lang w:val="en-US"/>
              </w:rPr>
            </w:pPr>
            <w:r w:rsidRPr="001937F5">
              <w:rPr>
                <w:lang w:val="en-US"/>
              </w:rPr>
              <w:t>2015</w:t>
            </w:r>
          </w:p>
        </w:tc>
        <w:tc>
          <w:tcPr>
            <w:tcW w:w="3190" w:type="dxa"/>
          </w:tcPr>
          <w:p w:rsidR="001937F5" w:rsidRPr="001937F5" w:rsidRDefault="001937F5" w:rsidP="001937F5">
            <w:pPr>
              <w:pStyle w:val="a3"/>
              <w:jc w:val="center"/>
              <w:rPr>
                <w:lang w:val="en-US"/>
              </w:rPr>
            </w:pPr>
            <w:r w:rsidRPr="001937F5">
              <w:rPr>
                <w:lang w:val="en-US"/>
              </w:rPr>
              <w:t>2016</w:t>
            </w:r>
          </w:p>
        </w:tc>
        <w:tc>
          <w:tcPr>
            <w:tcW w:w="3191" w:type="dxa"/>
          </w:tcPr>
          <w:p w:rsidR="001937F5" w:rsidRPr="001937F5" w:rsidRDefault="001937F5" w:rsidP="001937F5">
            <w:pPr>
              <w:pStyle w:val="a3"/>
              <w:jc w:val="center"/>
              <w:rPr>
                <w:lang w:val="en-US"/>
              </w:rPr>
            </w:pPr>
            <w:r w:rsidRPr="001937F5">
              <w:rPr>
                <w:lang w:val="en-US"/>
              </w:rPr>
              <w:t>2017</w:t>
            </w:r>
          </w:p>
        </w:tc>
      </w:tr>
      <w:tr w:rsidR="001937F5" w:rsidTr="001937F5">
        <w:tc>
          <w:tcPr>
            <w:tcW w:w="3190" w:type="dxa"/>
          </w:tcPr>
          <w:p w:rsidR="001937F5" w:rsidRPr="001937F5" w:rsidRDefault="001937F5" w:rsidP="001937F5">
            <w:pPr>
              <w:pStyle w:val="a3"/>
              <w:jc w:val="center"/>
            </w:pPr>
            <w:r w:rsidRPr="001937F5">
              <w:t>7.0</w:t>
            </w:r>
          </w:p>
        </w:tc>
        <w:tc>
          <w:tcPr>
            <w:tcW w:w="3190" w:type="dxa"/>
          </w:tcPr>
          <w:p w:rsidR="001937F5" w:rsidRPr="001937F5" w:rsidRDefault="001937F5" w:rsidP="001937F5">
            <w:pPr>
              <w:pStyle w:val="a3"/>
              <w:jc w:val="center"/>
            </w:pPr>
            <w:r w:rsidRPr="001937F5">
              <w:t>23.3</w:t>
            </w:r>
          </w:p>
        </w:tc>
        <w:tc>
          <w:tcPr>
            <w:tcW w:w="3191" w:type="dxa"/>
          </w:tcPr>
          <w:p w:rsidR="001937F5" w:rsidRPr="001937F5" w:rsidRDefault="001937F5" w:rsidP="001937F5">
            <w:pPr>
              <w:pStyle w:val="a3"/>
              <w:jc w:val="center"/>
            </w:pPr>
            <w:r w:rsidRPr="001937F5">
              <w:t>26.6</w:t>
            </w:r>
          </w:p>
        </w:tc>
      </w:tr>
    </w:tbl>
    <w:p w:rsidR="001937F5" w:rsidRDefault="001937F5" w:rsidP="001937F5">
      <w:pPr>
        <w:pStyle w:val="a3"/>
        <w:jc w:val="both"/>
        <w:rPr>
          <w:sz w:val="28"/>
          <w:szCs w:val="28"/>
          <w:lang w:val="en-US"/>
        </w:rPr>
      </w:pPr>
    </w:p>
    <w:p w:rsidR="001937F5" w:rsidRDefault="001937F5" w:rsidP="001937F5">
      <w:pPr>
        <w:pStyle w:val="a3"/>
        <w:jc w:val="both"/>
        <w:rPr>
          <w:sz w:val="28"/>
          <w:szCs w:val="28"/>
          <w:lang w:val="en-US"/>
        </w:rPr>
      </w:pPr>
    </w:p>
    <w:p w:rsidR="001937F5" w:rsidRDefault="001937F5" w:rsidP="001937F5">
      <w:pPr>
        <w:pStyle w:val="a3"/>
        <w:jc w:val="both"/>
        <w:rPr>
          <w:sz w:val="28"/>
          <w:szCs w:val="28"/>
          <w:lang w:val="en-US"/>
        </w:rPr>
      </w:pPr>
    </w:p>
    <w:p w:rsidR="00335712" w:rsidRDefault="00AB3373" w:rsidP="00193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3B5" w:rsidRDefault="005B73B5">
      <w:pPr>
        <w:pStyle w:val="a3"/>
        <w:jc w:val="both"/>
      </w:pPr>
    </w:p>
    <w:p w:rsidR="00335712" w:rsidRDefault="00335712" w:rsidP="00AB3373">
      <w:pPr>
        <w:pStyle w:val="a3"/>
      </w:pPr>
    </w:p>
    <w:p w:rsidR="00AB3373" w:rsidRPr="00AB3373" w:rsidRDefault="00AB3373" w:rsidP="00AB3373">
      <w:pPr>
        <w:pStyle w:val="a3"/>
        <w:rPr>
          <w:sz w:val="28"/>
          <w:szCs w:val="28"/>
        </w:rPr>
      </w:pPr>
      <w:r w:rsidRPr="00AB3373">
        <w:rPr>
          <w:sz w:val="28"/>
          <w:szCs w:val="28"/>
        </w:rPr>
        <w:t xml:space="preserve">Председатель департамента                  </w:t>
      </w:r>
      <w:r w:rsidR="005B73B5">
        <w:rPr>
          <w:sz w:val="28"/>
          <w:szCs w:val="28"/>
        </w:rPr>
        <w:t xml:space="preserve">                         </w:t>
      </w:r>
      <w:r w:rsidRPr="00AB3373">
        <w:rPr>
          <w:sz w:val="28"/>
          <w:szCs w:val="28"/>
        </w:rPr>
        <w:t xml:space="preserve">                    С.В. Малько</w:t>
      </w:r>
    </w:p>
    <w:sectPr w:rsidR="00AB3373" w:rsidRPr="00AB3373" w:rsidSect="000F4F7D">
      <w:headerReference w:type="default" r:id="rId9"/>
      <w:pgSz w:w="11906" w:h="16838"/>
      <w:pgMar w:top="1134" w:right="850" w:bottom="1134" w:left="1701" w:header="68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35" w:rsidRDefault="00C42035" w:rsidP="000F4F7D">
      <w:pPr>
        <w:spacing w:after="0" w:line="240" w:lineRule="auto"/>
      </w:pPr>
      <w:r>
        <w:separator/>
      </w:r>
    </w:p>
  </w:endnote>
  <w:endnote w:type="continuationSeparator" w:id="0">
    <w:p w:rsidR="00C42035" w:rsidRDefault="00C42035" w:rsidP="000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35" w:rsidRDefault="00C42035" w:rsidP="000F4F7D">
      <w:pPr>
        <w:spacing w:after="0" w:line="240" w:lineRule="auto"/>
      </w:pPr>
      <w:r>
        <w:separator/>
      </w:r>
    </w:p>
  </w:footnote>
  <w:footnote w:type="continuationSeparator" w:id="0">
    <w:p w:rsidR="00C42035" w:rsidRDefault="00C42035" w:rsidP="000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74422"/>
      <w:docPartObj>
        <w:docPartGallery w:val="Page Numbers (Top of Page)"/>
        <w:docPartUnique/>
      </w:docPartObj>
    </w:sdtPr>
    <w:sdtContent>
      <w:p w:rsidR="000F4F7D" w:rsidRDefault="000F4F7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80B">
          <w:rPr>
            <w:noProof/>
          </w:rPr>
          <w:t>8</w:t>
        </w:r>
        <w:r>
          <w:fldChar w:fldCharType="end"/>
        </w:r>
      </w:p>
    </w:sdtContent>
  </w:sdt>
  <w:p w:rsidR="000F4F7D" w:rsidRDefault="000F4F7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863"/>
    <w:multiLevelType w:val="multilevel"/>
    <w:tmpl w:val="ED3A5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35F1C"/>
    <w:multiLevelType w:val="multilevel"/>
    <w:tmpl w:val="04CC88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E7747C"/>
    <w:multiLevelType w:val="multilevel"/>
    <w:tmpl w:val="143A4A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B9B3BF7"/>
    <w:multiLevelType w:val="hybridMultilevel"/>
    <w:tmpl w:val="452AC2FC"/>
    <w:lvl w:ilvl="0" w:tplc="ECFAF52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712"/>
    <w:rsid w:val="000F4F7D"/>
    <w:rsid w:val="001937F5"/>
    <w:rsid w:val="00335712"/>
    <w:rsid w:val="005B73B5"/>
    <w:rsid w:val="00853B7E"/>
    <w:rsid w:val="00867144"/>
    <w:rsid w:val="00946219"/>
    <w:rsid w:val="00AB3373"/>
    <w:rsid w:val="00C42035"/>
    <w:rsid w:val="00D0080B"/>
    <w:rsid w:val="00D337BB"/>
    <w:rsid w:val="00E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Выделение жирным"/>
    <w:rPr>
      <w:b/>
      <w:bCs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3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3"/>
    <w:pPr>
      <w:suppressLineNumbers/>
    </w:pPr>
    <w:rPr>
      <w:rFonts w:cs="Arial"/>
    </w:rPr>
  </w:style>
  <w:style w:type="paragraph" w:customStyle="1" w:styleId="Style1">
    <w:name w:val="Style1"/>
    <w:basedOn w:val="a3"/>
    <w:pPr>
      <w:widowControl w:val="0"/>
      <w:spacing w:line="322" w:lineRule="exact"/>
      <w:jc w:val="center"/>
    </w:pPr>
    <w:rPr>
      <w:rFonts w:eastAsia="Times New Roman"/>
      <w:lang w:eastAsia="ru-RU"/>
    </w:rPr>
  </w:style>
  <w:style w:type="paragraph" w:styleId="ab">
    <w:name w:val="List Paragraph"/>
    <w:basedOn w:val="a3"/>
    <w:uiPriority w:val="34"/>
    <w:qFormat/>
    <w:pPr>
      <w:spacing w:after="200"/>
      <w:ind w:left="720"/>
      <w:contextualSpacing/>
    </w:pPr>
  </w:style>
  <w:style w:type="paragraph" w:styleId="ac">
    <w:name w:val="Balloon Text"/>
    <w:basedOn w:val="a3"/>
    <w:rPr>
      <w:rFonts w:ascii="Tahoma" w:hAnsi="Tahoma" w:cs="Tahoma"/>
      <w:sz w:val="16"/>
      <w:szCs w:val="16"/>
    </w:rPr>
  </w:style>
  <w:style w:type="paragraph" w:styleId="ad">
    <w:name w:val="No Spacing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19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F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4F7D"/>
  </w:style>
  <w:style w:type="paragraph" w:styleId="af1">
    <w:name w:val="footer"/>
    <w:basedOn w:val="a"/>
    <w:link w:val="af2"/>
    <w:uiPriority w:val="99"/>
    <w:unhideWhenUsed/>
    <w:rsid w:val="000F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D866-29C5-4337-B601-2335A68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Н. Матюхин</dc:creator>
  <cp:lastModifiedBy>Константин Н. Матюхин</cp:lastModifiedBy>
  <cp:revision>9</cp:revision>
  <cp:lastPrinted>2018-02-05T10:29:00Z</cp:lastPrinted>
  <dcterms:created xsi:type="dcterms:W3CDTF">2018-02-04T16:18:00Z</dcterms:created>
  <dcterms:modified xsi:type="dcterms:W3CDTF">2018-02-05T10:40:00Z</dcterms:modified>
</cp:coreProperties>
</file>